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03C4" w14:textId="77777777" w:rsidR="006B68C3" w:rsidRPr="009B7E48" w:rsidRDefault="006B68C3" w:rsidP="00601F5D">
      <w:pPr>
        <w:rPr>
          <w:rFonts w:ascii="Source Sans Pro" w:hAnsi="Source Sans Pro"/>
          <w:bCs/>
        </w:rPr>
      </w:pPr>
    </w:p>
    <w:p w14:paraId="21662C66" w14:textId="790D545B" w:rsidR="006B68C3" w:rsidRPr="009B7E48" w:rsidRDefault="009B7E48" w:rsidP="009B7E48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/>
          <w:lang w:val="hr-HR" w:eastAsia="hr-HR"/>
        </w:rPr>
        <w:t>Predmet nabave: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Zaštitna odjeća, evidencijski broj nabave JN-13/2025</w:t>
      </w:r>
    </w:p>
    <w:p w14:paraId="67C20B8F" w14:textId="77777777" w:rsidR="006B68C3" w:rsidRPr="009B7E48" w:rsidRDefault="006B68C3" w:rsidP="006B68C3">
      <w:pPr>
        <w:spacing w:after="0" w:line="276" w:lineRule="auto"/>
        <w:jc w:val="center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A426A3B" w14:textId="5D92FC2E" w:rsidR="006B68C3" w:rsidRPr="009B7E48" w:rsidRDefault="009B7E48" w:rsidP="006B68C3">
      <w:pPr>
        <w:spacing w:after="0" w:line="276" w:lineRule="auto"/>
        <w:jc w:val="center"/>
        <w:rPr>
          <w:rFonts w:ascii="Source Sans Pro" w:eastAsia="Times New Roman" w:hAnsi="Source Sans Pro" w:cs="Times New Roman"/>
          <w:b/>
          <w:lang w:val="hr-HR" w:eastAsia="hr-HR"/>
        </w:rPr>
      </w:pPr>
      <w:r w:rsidRPr="009B7E48">
        <w:rPr>
          <w:rFonts w:ascii="Source Sans Pro" w:eastAsia="Times New Roman" w:hAnsi="Source Sans Pro" w:cs="Times New Roman"/>
          <w:b/>
          <w:lang w:val="hr-HR" w:eastAsia="hr-HR"/>
        </w:rPr>
        <w:t>MINIMALNE TEHNIČKE SPECIFKACIJE</w:t>
      </w:r>
    </w:p>
    <w:p w14:paraId="00F227E3" w14:textId="77777777" w:rsidR="006B68C3" w:rsidRPr="009B7E48" w:rsidRDefault="006B68C3" w:rsidP="006B68C3">
      <w:pPr>
        <w:spacing w:after="0" w:line="276" w:lineRule="auto"/>
        <w:jc w:val="center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4F0E9C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Ponuditelj mora putem odgovarajućih važećih dokumenata (Certifikati, izvješća o ispitivanju i sl.) potvrditi sukladnost proizvoda koji se nudi. U protivnom smatrat će se da ponuđeni proizvod ne zadovoljava tražene tehničke uvjete (karakteristike).</w:t>
      </w:r>
    </w:p>
    <w:p w14:paraId="09449D75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859589D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Ponuditelj koji je dostavio ekonomski najpovoljniju ponudu obvezan je dostaviti i uzorak proizvoda koji se nudi; isti se vraća ponuditelju.</w:t>
      </w:r>
    </w:p>
    <w:p w14:paraId="06A940FA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62E644E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Ponuditelj / proizvođač mora osigurati provođenje stalne kontrole kvalitete pojedinih faza tehnološkog procesa krojenja, šivanja, dorade pregleda robe do pakiranja, a najmanje prema HRN EN ISO 9001:2015 (ili jednakovrijednim).</w:t>
      </w:r>
    </w:p>
    <w:p w14:paraId="5CCAC1A0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973074A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Naručitelj zadržava pravo putem kod prijema gotovih proizvoda putem akreditiranog laboratorija izvršiti ispitivanje sukladnosti gotovog proizvoda s te</w:t>
      </w:r>
      <w:r w:rsidR="007A1ACE" w:rsidRPr="009B7E48">
        <w:rPr>
          <w:rFonts w:ascii="Source Sans Pro" w:eastAsia="Times New Roman" w:hAnsi="Source Sans Pro" w:cs="Times New Roman"/>
          <w:bCs/>
          <w:lang w:val="hr-HR" w:eastAsia="hr-HR"/>
        </w:rPr>
        <w:t>hničkim značajkama iz Tehničkih specifikacija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 Troškove laboratorijskog ispitivanja snosi ponuditelj – isporučitelj, a istome Naručitelj dostavlja kopiju rezultata.</w:t>
      </w:r>
    </w:p>
    <w:p w14:paraId="7CEB9EDC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63A5D39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Naručitelj će preuzeti robu samo ako je u skladu s propisanim elementima iz priloga – Propisnika iz ove dokumentacije o nabavi.</w:t>
      </w:r>
    </w:p>
    <w:p w14:paraId="381744ED" w14:textId="77777777" w:rsidR="006B68C3" w:rsidRPr="009B7E48" w:rsidRDefault="006B68C3" w:rsidP="00CE061A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FBBFD41" w14:textId="77777777" w:rsidR="006B68C3" w:rsidRPr="009B7E48" w:rsidRDefault="006B68C3" w:rsidP="006B68C3">
      <w:pPr>
        <w:numPr>
          <w:ilvl w:val="0"/>
          <w:numId w:val="1"/>
        </w:numPr>
        <w:suppressAutoHyphens/>
        <w:spacing w:after="0" w:line="240" w:lineRule="auto"/>
        <w:rPr>
          <w:rFonts w:ascii="Source Sans Pro" w:eastAsia="Times New Roman" w:hAnsi="Source Sans Pro" w:cs="Times New Roman"/>
          <w:b/>
          <w:lang w:val="hr-HR" w:eastAsia="hr-HR"/>
        </w:rPr>
      </w:pPr>
      <w:r w:rsidRPr="009B7E48">
        <w:rPr>
          <w:rFonts w:ascii="Source Sans Pro" w:eastAsia="Times New Roman" w:hAnsi="Source Sans Pro" w:cs="Times New Roman"/>
          <w:b/>
          <w:lang w:val="hr-HR" w:eastAsia="hr-HR"/>
        </w:rPr>
        <w:t>OPĆI ZAHTJEVI</w:t>
      </w:r>
    </w:p>
    <w:p w14:paraId="19EF998E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7E2A8A4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1.1. KVALITETA</w:t>
      </w:r>
    </w:p>
    <w:p w14:paraId="6D6C5D10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13B259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interventno odijelo mora zadovoljavati zahtjeve iz Uredbe (EU) 2016/425 – Europskog parlamenta i vijeća o osobnoj zaštitnoj opremi, odnosno najmanje zahtjeve iz norme HRN EN 469:2020</w:t>
      </w:r>
      <w:r w:rsidR="00E36D12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X2, Y2, Z2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ili jednakovrijednim,</w:t>
      </w:r>
    </w:p>
    <w:p w14:paraId="051D4E80" w14:textId="77777777" w:rsidR="006B68C3" w:rsidRPr="009B7E48" w:rsidRDefault="00617D3C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HRN EN 1149-5:201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8 ili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jednakovrijednim (EN 1149-5:201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8 ili jednakovrijednim) – Zaštitna odjeća – Elektrostatička svojstva – 5. Dio: Zahtjevi za svojstva materijala i dizajn.</w:t>
      </w:r>
    </w:p>
    <w:p w14:paraId="50592CBC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interventno odijelo mora zadovoljiti i dodatne zahtjeve navedene u daljnjem tekstu opisa, vrste materijala, svojstava materijala, označavanja i pakiranja.</w:t>
      </w:r>
    </w:p>
    <w:p w14:paraId="081616E5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52790690" w14:textId="77777777" w:rsidR="006B68C3" w:rsidRPr="009B7E48" w:rsidRDefault="006B68C3" w:rsidP="006B68C3">
      <w:pPr>
        <w:numPr>
          <w:ilvl w:val="1"/>
          <w:numId w:val="1"/>
        </w:numPr>
        <w:suppressAutoHyphens/>
        <w:spacing w:after="0" w:line="240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SUKLADNOST KVALITETE</w:t>
      </w:r>
    </w:p>
    <w:p w14:paraId="07FDA512" w14:textId="77777777" w:rsidR="006B68C3" w:rsidRPr="009B7E48" w:rsidRDefault="006B68C3" w:rsidP="006B68C3">
      <w:pPr>
        <w:suppressAutoHyphens/>
        <w:spacing w:after="0" w:line="240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8B26674" w14:textId="77777777" w:rsidR="006B68C3" w:rsidRPr="009B7E48" w:rsidRDefault="006B68C3" w:rsidP="006B68C3">
      <w:pPr>
        <w:suppressAutoHyphens/>
        <w:spacing w:after="0" w:line="240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interventno odijelo s općim zahtjevima potvrđuje se C</w:t>
      </w:r>
      <w:r w:rsidR="0018756D" w:rsidRPr="009B7E48">
        <w:rPr>
          <w:rFonts w:ascii="Source Sans Pro" w:eastAsia="Times New Roman" w:hAnsi="Source Sans Pro" w:cs="Times New Roman"/>
          <w:bCs/>
          <w:lang w:val="hr-HR" w:eastAsia="hr-HR"/>
        </w:rPr>
        <w:t>ertifikatom o pregledu tipa</w:t>
      </w:r>
    </w:p>
    <w:p w14:paraId="5F112B7B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30BE087E" w14:textId="77777777" w:rsidR="0018756D" w:rsidRPr="009B7E48" w:rsidRDefault="0018756D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5589874" w14:textId="77777777" w:rsidR="006B68C3" w:rsidRPr="009B7E48" w:rsidRDefault="006B68C3" w:rsidP="006B68C3">
      <w:pPr>
        <w:numPr>
          <w:ilvl w:val="0"/>
          <w:numId w:val="1"/>
        </w:numPr>
        <w:suppressAutoHyphens/>
        <w:spacing w:after="0" w:line="240" w:lineRule="auto"/>
        <w:rPr>
          <w:rFonts w:ascii="Source Sans Pro" w:eastAsia="Times New Roman" w:hAnsi="Source Sans Pro" w:cs="Times New Roman"/>
          <w:b/>
          <w:lang w:val="hr-HR" w:eastAsia="hr-HR"/>
        </w:rPr>
      </w:pPr>
      <w:r w:rsidRPr="009B7E48">
        <w:rPr>
          <w:rFonts w:ascii="Source Sans Pro" w:eastAsia="Times New Roman" w:hAnsi="Source Sans Pro" w:cs="Times New Roman"/>
          <w:b/>
          <w:lang w:val="hr-HR" w:eastAsia="hr-HR"/>
        </w:rPr>
        <w:t>DODATNI ZAHTJEVI</w:t>
      </w:r>
    </w:p>
    <w:p w14:paraId="32DD42FA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D5F4A6F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     2.1. Opis i izgled</w:t>
      </w:r>
    </w:p>
    <w:p w14:paraId="7BB76773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608B2F8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Dvodijelno zaštitno vatrogasno interventno odijelo tamnoplave boje (vanjski materijal) ili jednakovrijedna, s ojačanjima, džepovima, reflektirajućim trakama, zatvaračima, preklopima i čičak trakama za oznake.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Jakne i hlače zaštitnog vatrogasnog odijela izrađene i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>z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istih </w:t>
      </w:r>
      <w:r w:rsidR="00607E0D" w:rsidRPr="009B7E48">
        <w:rPr>
          <w:rFonts w:ascii="Source Sans Pro" w:eastAsia="Times New Roman" w:hAnsi="Source Sans Pro" w:cs="Times New Roman"/>
          <w:bCs/>
          <w:lang w:val="hr-HR" w:eastAsia="hr-HR"/>
        </w:rPr>
        <w:t>višeslojnih materijala/sendviča u ve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>ličini XL</w:t>
      </w:r>
      <w:r w:rsidR="00607E0D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56C6A83D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E310554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Detaljni opis </w:t>
      </w:r>
      <w:r w:rsidR="002A7BC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minimalnih zahtjeva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dvodijelnog zaštitnog interventnog vatrogasnog odijela</w:t>
      </w:r>
    </w:p>
    <w:p w14:paraId="59A620D6" w14:textId="77777777" w:rsidR="002D5BAD" w:rsidRPr="009B7E48" w:rsidRDefault="002D5BAD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554689DB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JAKNA:</w:t>
      </w:r>
    </w:p>
    <w:p w14:paraId="0E2387C7" w14:textId="77777777" w:rsidR="00CE061A" w:rsidRPr="009B7E48" w:rsidRDefault="00CE061A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41CA261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Ovratnik:</w:t>
      </w:r>
    </w:p>
    <w:p w14:paraId="598E28D8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Vanjski i unutarnji ovratnik izrađen je od gornjeg materijala.</w:t>
      </w:r>
    </w:p>
    <w:p w14:paraId="3DC1DCDB" w14:textId="77777777" w:rsidR="002D5BAD" w:rsidRPr="009B7E48" w:rsidRDefault="002D5BAD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vanjskom ovratniku nalazi se omča (petlja) ovratnika za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dodatno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zatvaranje ovratnika u podignutom stanju. Omča (petlja) se pričvršćuje na ovratnik čičak trakom.</w:t>
      </w:r>
      <w:r w:rsidR="00094EEB" w:rsidRPr="009B7E48">
        <w:rPr>
          <w:rFonts w:ascii="Source Sans Pro" w:hAnsi="Source Sans Pro"/>
          <w:bCs/>
        </w:rPr>
        <w:t xml:space="preserve"> 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>Ovratnik na stražnjoj strani seže do kacige, a na prednjoj se zatvara čičak trakom.</w:t>
      </w:r>
      <w:r w:rsidR="008E5878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Sa unutarnje strane ovratnika nalazi su tekstilna traka za vješanje odijela minimalnih dimenzija š x d 8 x 1 cm.</w:t>
      </w:r>
    </w:p>
    <w:p w14:paraId="51429719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2AB763F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Rukavi:</w:t>
      </w:r>
    </w:p>
    <w:p w14:paraId="06E41267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rukav se našiva manšeta (or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>ukvica) duža minimalne dužine 13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cm. Manšeta je opremljena blokadom upijanja vlage s vanjske u unutarnje strane iste. Pletena orukvica izvedena s otvorom za palac. Manšeta omogućuje namještanje širine rukava pomoću prišivene vezice rukava i plastičnog prstena. Učvršćivanje se obavlja čič</w:t>
      </w:r>
      <w:r w:rsidR="00ED26A0" w:rsidRPr="009B7E48">
        <w:rPr>
          <w:rFonts w:ascii="Source Sans Pro" w:eastAsia="Times New Roman" w:hAnsi="Source Sans Pro" w:cs="Times New Roman"/>
          <w:bCs/>
          <w:lang w:val="hr-HR" w:eastAsia="hr-HR"/>
        </w:rPr>
        <w:t>ak trakom.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laktu je prišiven umetak za lakat radi bolje pokretljivosti i dodatni materijal za pojačanje </w:t>
      </w:r>
      <w:r w:rsidR="00ED26A0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. </w:t>
      </w:r>
    </w:p>
    <w:p w14:paraId="76A29FC8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57D8AC7D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Prednjica:</w:t>
      </w:r>
    </w:p>
    <w:p w14:paraId="2E5E173F" w14:textId="77777777" w:rsidR="00094EEB" w:rsidRPr="009B7E48" w:rsidRDefault="00094EEB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Jakna je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poludu</w:t>
      </w:r>
      <w:r w:rsidR="00ED26A0" w:rsidRPr="009B7E48">
        <w:rPr>
          <w:rFonts w:ascii="Source Sans Pro" w:eastAsia="Times New Roman" w:hAnsi="Source Sans Pro" w:cs="Times New Roman"/>
          <w:bCs/>
          <w:lang w:val="hr-HR" w:eastAsia="hr-HR"/>
        </w:rPr>
        <w:t>gog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kroja. Glavni plastični ili jednakovrijedan zatvarač mora imati mogućnost brzog otkapčanja u slučaju potrebe brzog skidanja jakne. Zatvarač jakne mora biti izveden kao patentni zatvarač za slučaj 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nužde. 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sa umetkom/elementom za lakši prihvat u rukavicama. 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>Patentni zatvarač seže maksimalno 1,5 cm od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spojnog šava ovratnika i prekriven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je širokom  lajsnom. Prednja lajsna seže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od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donjeg ruba jakne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do gornjeg ruba ovratnika.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Izrađena je iz jednog komada.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lajsni se nalazi traka za prihvat svjetiljke ili mikrofona radi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o stanice minimalnih dimenzija (š x d 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6,5 x 4,5 cm). </w:t>
      </w:r>
    </w:p>
    <w:p w14:paraId="6AAE8B93" w14:textId="77777777" w:rsidR="00094EEB" w:rsidRPr="009B7E48" w:rsidRDefault="00094EEB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52D6F60" w14:textId="77777777" w:rsidR="00094EEB" w:rsidRPr="009B7E48" w:rsidRDefault="00ED6446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prsima, desno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nosač za svjetiljku (</w:t>
      </w:r>
      <w:r w:rsidR="00655AC4" w:rsidRPr="009B7E48">
        <w:rPr>
          <w:rFonts w:ascii="Source Sans Pro" w:eastAsia="Times New Roman" w:hAnsi="Source Sans Pro" w:cs="Times New Roman"/>
          <w:bCs/>
          <w:lang w:val="hr-HR" w:eastAsia="hr-HR"/>
        </w:rPr>
        <w:t>š x d maksimal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no 7,5 x 13 cm), na prsima lijevo</w:t>
      </w:r>
      <w:r w:rsidR="00655AC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harmonika džep dimenzije (š x d minimalno 8,5 x19,5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cm) koji se zatvara čičak trakom, omogućeno umetanje radio stanice gdje je dno džepa izvedeno kao traka na donjoj strani i nije izveden kao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potpuno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zatvoren džep s don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je strane.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Iznad džepa za radio stanicu nalazi se traka za prihvat antene i mikrofona radio stanice. Jedna strana trake fiksirana, a druga strana koja služi za prihvat antene radio stanice je sa 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lastRenderedPageBreak/>
        <w:t>mogućnošću otvaranja i fiksira se čičak trakom.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prsima, na desnoj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strani u području nosača svjetiljke nalazi se karabiner za prihvat i osiguranje protiv ispadanja svjetiljke i slično.  Svjetiljka se zateže čičak trakom upetom u zglob. Završetak čičak trake sa umetkom/elemenom prikladnim za prihvat u rukavi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cama. Iznad  nosača za svjetiljku je glatki čičak za ime/funkciju minimalnih dimenzija 14 x 2 cm.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T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>rake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 prihvat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mikrofona radio stanice 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lijevo i desno u krajnjem rubnom području prednjice prije šava lijevog i desnog </w:t>
      </w:r>
      <w:r w:rsidR="00655AC4" w:rsidRPr="009B7E48">
        <w:rPr>
          <w:rFonts w:ascii="Source Sans Pro" w:eastAsia="Times New Roman" w:hAnsi="Source Sans Pro" w:cs="Times New Roman"/>
          <w:bCs/>
          <w:lang w:val="hr-HR" w:eastAsia="hr-HR"/>
        </w:rPr>
        <w:t>ramenog šava. Gornji rub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trake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 prihvat mikrofona radio stanice</w:t>
      </w:r>
      <w:r w:rsidR="00655AC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ne smije biti udaljen više od 3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,5 cm od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ramenog šava.</w:t>
      </w:r>
    </w:p>
    <w:p w14:paraId="7B16A211" w14:textId="77777777" w:rsidR="00094EEB" w:rsidRPr="009B7E48" w:rsidRDefault="00094EEB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E547178" w14:textId="77777777" w:rsidR="00094EEB" w:rsidRPr="009B7E48" w:rsidRDefault="000E6341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Dva donja ušivena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džepa na prednjoj strani j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>akne sa svake strane. P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>reklo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>pi</w:t>
      </w:r>
      <w:r w:rsidR="00D361F0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se fiksiraju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minimalno sa dvije čičak trake</w:t>
      </w:r>
      <w:r w:rsidR="00D361F0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, 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minimalnih dimenzija (š x d 4 x 2 cm), </w:t>
      </w:r>
      <w:r w:rsidR="00D361F0" w:rsidRPr="009B7E48">
        <w:rPr>
          <w:rFonts w:ascii="Source Sans Pro" w:eastAsia="Times New Roman" w:hAnsi="Source Sans Pro" w:cs="Times New Roman"/>
          <w:bCs/>
          <w:lang w:val="hr-HR" w:eastAsia="hr-HR"/>
        </w:rPr>
        <w:t>na sredini preklopa sa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umetkom/elementom za lakši prihvat u rukavicama. 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Gornji rub preklopa džepova udaljen maksimalno 27 cm od donjeg ruba jakne. </w:t>
      </w:r>
    </w:p>
    <w:p w14:paraId="7891D5D7" w14:textId="77777777" w:rsidR="005056D5" w:rsidRPr="009B7E48" w:rsidRDefault="00BA117B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U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ob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a džepa , s unutrašnje strane 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>nalaze se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tekstilne trake sa mogućnošću postavke u omču pomoću drukera. Minimalno jedan karabiner u lijevom ili desnom džepu prikačen za omču na tekstilnoj traci.</w:t>
      </w:r>
    </w:p>
    <w:p w14:paraId="0DC5A3BA" w14:textId="77777777" w:rsidR="005056D5" w:rsidRPr="009B7E48" w:rsidRDefault="005056D5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226CB8B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Leđa:</w:t>
      </w:r>
    </w:p>
    <w:p w14:paraId="555B7D72" w14:textId="77777777" w:rsidR="002D5BAD" w:rsidRPr="009B7E48" w:rsidRDefault="00BA117B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Leđni dio </w:t>
      </w:r>
      <w:r w:rsidR="002D5B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iskrojen 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>iz dva dijela osnovnog materijala.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Duljina leđa od donjeg</w:t>
      </w:r>
      <w:r w:rsidR="00BF324F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šava ovratnika do donjeg ruba jakne na sredini leđa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ne smije prelaziti dužinu od 85</w:t>
      </w:r>
      <w:r w:rsidR="00BF324F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cm.</w:t>
      </w:r>
      <w:r w:rsidR="002D5B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gornjem dijelu leđa mora biti predviđeno mjesto za vatrootporni ref</w:t>
      </w:r>
      <w:r w:rsidR="00FB71D2" w:rsidRPr="009B7E48">
        <w:rPr>
          <w:rFonts w:ascii="Source Sans Pro" w:eastAsia="Times New Roman" w:hAnsi="Source Sans Pro" w:cs="Times New Roman"/>
          <w:bCs/>
          <w:lang w:val="hr-HR" w:eastAsia="hr-HR"/>
        </w:rPr>
        <w:t>lektirajuć</w:t>
      </w:r>
      <w:r w:rsidR="000C5A3A" w:rsidRPr="009B7E48">
        <w:rPr>
          <w:rFonts w:ascii="Source Sans Pro" w:eastAsia="Times New Roman" w:hAnsi="Source Sans Pro" w:cs="Times New Roman"/>
          <w:bCs/>
          <w:lang w:val="hr-HR" w:eastAsia="hr-HR"/>
        </w:rPr>
        <w:t>i tisak,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minimalnih dimenzija 50 x 23 cm</w:t>
      </w:r>
      <w:r w:rsidR="002D5B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. 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>Otvor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i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 pregled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e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membrane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 jedne i druge strane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(minimalno dva otvora), nalaze se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 donjem dijelu leđa jakne s unutarnj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e strane i u bočnom dijelu sa untarnje strane jakne. Donji otvor se zatvara 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>zatvaračem i  preklop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>om sa metalniim drukerima, a bočni patent zatvaračem.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2D5BAD" w:rsidRPr="009B7E48">
        <w:rPr>
          <w:rFonts w:ascii="Source Sans Pro" w:eastAsia="Times New Roman" w:hAnsi="Source Sans Pro" w:cs="Times New Roman"/>
          <w:bCs/>
          <w:lang w:val="hr-HR" w:eastAsia="hr-HR"/>
        </w:rPr>
        <w:t>Natpis na leđima nije obvezan biti na dostavljenom uzorku odijela.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31E85243" w14:textId="77777777" w:rsidR="00D22AA3" w:rsidRPr="009B7E48" w:rsidRDefault="00D22AA3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38A891A2" w14:textId="77777777" w:rsidR="00AE67A1" w:rsidRPr="009B7E48" w:rsidRDefault="00AE67A1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U donjem dijelu jakne sa unutrašnje strane u cijeloj širini nalazi se membrana protiv upijanja vlage minimalne ši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>rine 5,5 cm.</w:t>
      </w:r>
    </w:p>
    <w:p w14:paraId="35E7BDA8" w14:textId="77777777" w:rsidR="00D22AA3" w:rsidRPr="009B7E48" w:rsidRDefault="00D22AA3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663ACA7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Podstava:</w:t>
      </w:r>
    </w:p>
    <w:p w14:paraId="08E33540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Jakna je u cijelosti podstavljena vatrootpornom podstavom. Podstava se prišiva potpuno po porubu gornjeg ma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terijala i fiksira u jaknu. 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>Na podstavu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sa unutarnje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lijeve strane našiven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džep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koji se zatvaraju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čičak trak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om. Unutarnji 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>džep s lijeve strane minimalnih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dimenzija 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š x d </w:t>
      </w:r>
      <w:r w:rsidR="00D16F9F" w:rsidRPr="009B7E48">
        <w:rPr>
          <w:rFonts w:ascii="Source Sans Pro" w:eastAsia="Times New Roman" w:hAnsi="Source Sans Pro" w:cs="Times New Roman"/>
          <w:bCs/>
          <w:lang w:val="hr-HR" w:eastAsia="hr-HR"/>
        </w:rPr>
        <w:t>=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>18 x 18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</w:t>
      </w:r>
      <w:r w:rsidR="00D16F9F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našiveni džep sa unutarnje strane dodatno je našiven dodatak iz istog materijala kao i džep, minimalnih dimenzija š x d 8 x 13 cm, za prihvat sredstava za pisanje (olovka i slično).</w:t>
      </w:r>
    </w:p>
    <w:p w14:paraId="0F7E7CAB" w14:textId="77777777" w:rsidR="006B68C3" w:rsidRPr="009B7E48" w:rsidRDefault="006B68C3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2816A3E" w14:textId="77777777" w:rsidR="008B530B" w:rsidRPr="009B7E48" w:rsidRDefault="008B530B" w:rsidP="008B530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Reflektirajuće trake:</w:t>
      </w:r>
    </w:p>
    <w:p w14:paraId="39D56FE4" w14:textId="77777777" w:rsidR="008B530B" w:rsidRPr="009B7E48" w:rsidRDefault="008B530B" w:rsidP="008B530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Reflektirajuće prozračne tekstilne trake na jakni (kombinacija traka žute/srebrne/žute boje) širine maksimalno 5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>,5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 </w:t>
      </w:r>
      <w:r w:rsidR="008E5878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 minimalno 7 cm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t>( kombinacija)</w:t>
      </w:r>
      <w:r w:rsidR="008E5878" w:rsidRPr="009B7E48">
        <w:rPr>
          <w:rFonts w:ascii="Source Sans Pro" w:eastAsia="Times New Roman" w:hAnsi="Source Sans Pro" w:cs="Times New Roman"/>
          <w:bCs/>
          <w:lang w:val="hr-HR" w:eastAsia="hr-HR"/>
        </w:rPr>
        <w:t>,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svojstva</w:t>
      </w:r>
      <w:r w:rsidR="008E5878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>u skladu s zahtjevima koje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propisuje norma za izradu zaštitnog vatrogasnog odijela za požare zatvorenog prostora.</w:t>
      </w:r>
    </w:p>
    <w:p w14:paraId="4C324D7B" w14:textId="77777777" w:rsidR="006B68C3" w:rsidRPr="009B7E48" w:rsidRDefault="008B530B" w:rsidP="002B3E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Reflektirajuća traka 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širine maksimalno 5,5 cm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zašivena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je na vanjski materijal jakne dvoredno u donjem dijelu jakne u cijelom obimu.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S prednje strane u visini prsa iznad džepova za svjetiljku i radio 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lastRenderedPageBreak/>
        <w:t>stanicu vodoravno našivena traka maksimalne širine 5,5 cm. Donja i gornja traka na obje prednjice spojene su sa vertikalno našivenim trakama (kombinacija traka žute/srebrne/žute boje), minimalne širine 7 cm.</w:t>
      </w:r>
      <w:r w:rsidR="002321B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Traka (kombinacija traka žute/srebrne/žute boje), minimalne širine 7 cm našivena je na preklope donjih ušivenih džepova na prednjoj strani jakne.</w:t>
      </w:r>
    </w:p>
    <w:p w14:paraId="40D3356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1B3D84E" w14:textId="77777777" w:rsidR="004E2C9E" w:rsidRPr="009B7E48" w:rsidRDefault="008B530B" w:rsidP="005C658E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Na leđima dvije </w:t>
      </w:r>
      <w:r w:rsidR="002321B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uspravne 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tra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ke </w:t>
      </w:r>
      <w:r w:rsidR="002321B4" w:rsidRPr="009B7E48">
        <w:rPr>
          <w:rFonts w:ascii="Source Sans Pro" w:eastAsia="Times New Roman" w:hAnsi="Source Sans Pro" w:cs="Times New Roman"/>
          <w:bCs/>
          <w:lang w:val="hr-HR" w:eastAsia="hr-HR"/>
        </w:rPr>
        <w:t>(kombinacija traka žute/srebrne/žute boje), minimalne širine 7 cm koje se protežu od vodoravno našivene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trake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</w:t>
      </w:r>
      <w:r w:rsidR="005C658E" w:rsidRPr="009B7E48">
        <w:rPr>
          <w:rFonts w:ascii="Source Sans Pro" w:eastAsia="Times New Roman" w:hAnsi="Source Sans Pro" w:cs="Times New Roman"/>
          <w:bCs/>
          <w:lang w:val="hr-HR" w:eastAsia="hr-HR"/>
        </w:rPr>
        <w:t>a jakni u donjem dijelu do šava u gornjem dijelu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leđa</w:t>
      </w:r>
      <w:r w:rsidR="005C658E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 visini lopatica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  <w:r w:rsidR="002321B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Dvije okomite trake na gornjem dijelu spojene su sa trakom (kombinacija traka žute/srebrne/žute boje), maksimalne  širine 5,5 cm.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6B7DEACC" w14:textId="77777777" w:rsidR="006B68C3" w:rsidRPr="009B7E48" w:rsidRDefault="002321B4" w:rsidP="005C658E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oba rukava minimalno dvije trake (kombinacija traka žute/srebrne/žute boje), jedna u donjem dijelu minimalne širine 7 cm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>, našivena maksimalno 3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>cm od donjeg ruba ojačanja na laktu rukava, druga (kombinacija traka žute/srebrne/žute boje), maksimalne širine 5,5 cm</w:t>
      </w:r>
      <w:r w:rsidR="000E2389" w:rsidRPr="009B7E48">
        <w:rPr>
          <w:rFonts w:ascii="Source Sans Pro" w:eastAsia="Times New Roman" w:hAnsi="Source Sans Pro" w:cs="Times New Roman"/>
          <w:bCs/>
          <w:lang w:val="hr-HR" w:eastAsia="hr-HR"/>
        </w:rPr>
        <w:t>, našivena minimalno 10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 od gornjeg ruba ojačanja na laktovima.</w:t>
      </w:r>
    </w:p>
    <w:p w14:paraId="58A5725F" w14:textId="77777777" w:rsidR="005C658E" w:rsidRPr="009B7E48" w:rsidRDefault="005C658E" w:rsidP="005C658E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5E218465" w14:textId="77777777" w:rsidR="006B68C3" w:rsidRPr="009B7E48" w:rsidRDefault="00851F10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HLAČE:</w:t>
      </w:r>
    </w:p>
    <w:p w14:paraId="46E10762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1E51BA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Hlače su ravnog kroja.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bočnim dijelovima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pasice ušivena lastika za 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>e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>lastičnost struka, te čičak trak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a za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regulaciju obima struka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koja na kraju ima umetak/element za lakši prihvat u rukavicama. Hlače kod šlica prekrivaju se/zatvaraju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lajsnom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čičak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Lajsna na kraju ima umetak/element za lakši prihvat u rukavicama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0D61F850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Na prednjoj strani hlača u gornjem dijelu lijevo i desno nalaze se dva 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otvorena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kosa 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>ušivena džepa.</w:t>
      </w:r>
    </w:p>
    <w:p w14:paraId="027FBC1B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795FFD45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Na bočnom dijelu nogavice su dva 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otvora za ventiliranje 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mini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>malnog otvora 16 cm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, koji se zatvaraju čičak trakom.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 području otvora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umetak/element za lakši prihvat u rukavicama.</w:t>
      </w:r>
    </w:p>
    <w:p w14:paraId="72843960" w14:textId="77777777" w:rsidR="006B68C3" w:rsidRPr="009B7E48" w:rsidRDefault="008601A9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Bočni d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žepovi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nogvicama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su vrećastog 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oblika.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desnom džepu našiven dodatni manji džep sa bočnim otvaranjem na čičak traku i umetkom/elementom za lakši prihvat u rukavicama. U desnom osnovnom i dodanom džepu nalaze se tekstilne kukice za pr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ihvat, u lijevom džepu kukica za prihvat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tekstilnoj traki.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Oba oba bočna džepa zatvaraju se preklopima pomoću čičak trake te su preklopi opremljeni</w:t>
      </w:r>
      <w:r w:rsidRPr="009B7E48">
        <w:rPr>
          <w:rFonts w:ascii="Source Sans Pro" w:hAnsi="Source Sans Pro"/>
          <w:bCs/>
        </w:rPr>
        <w:t xml:space="preserve">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umetkom/elementom za lakši prihvat u rukavicama.</w:t>
      </w:r>
      <w:r w:rsidR="00C174C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preklopu lijevog bočnog džepa načiven je glatki čičak minimalnih dimenzija š x d  14 x 2 cm.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559A0BA3" w14:textId="77777777" w:rsidR="00A934E1" w:rsidRPr="009B7E48" w:rsidRDefault="00C174CC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Stražnji dio hlača povišen kako bi osigurao siguran preklop sa zaštitnom jaknom.</w:t>
      </w:r>
      <w:r w:rsidR="0041640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povišenom dijelu hlača sa </w:t>
      </w:r>
      <w:r w:rsidR="00A934E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stražnje strane unutra nalazi su tekstilna traka za vješanje hlača minimalnih dimenzija </w:t>
      </w:r>
    </w:p>
    <w:p w14:paraId="11BD5E7C" w14:textId="77777777" w:rsidR="006B68C3" w:rsidRPr="009B7E48" w:rsidRDefault="00A934E1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š x d 8 x 1 cm.</w:t>
      </w:r>
      <w:r w:rsidR="0041640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C174C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Hlače imaju naramenice s mogućnošću regulacije.</w:t>
      </w:r>
      <w:r w:rsidR="00C174C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Izmjena naramenica mora biti izvedena i omogućena na način da se ne  koristiti konac i strojevi za šivanje, da ih može izmijeniti korisnik vatrogasnog zaštitnog odijela.</w:t>
      </w:r>
    </w:p>
    <w:p w14:paraId="28DE6E99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Područja koljena imaju nabore koje pružaju anatomski oblik nogavice i dodatno pojača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nje , te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uložak za ublažavanje</w:t>
      </w:r>
      <w:r w:rsidR="00C423E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pritiska na koljeno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7845BC38" w14:textId="77777777" w:rsidR="00AC1967" w:rsidRPr="009B7E48" w:rsidRDefault="00AC1967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U untarnjoj strani sa stražnje strane u gornjem dijelu otvor za pregled i kontrolu vodene i termalne barijere koji se zatvara patent zatvaračem i preklopom sa drukerima.</w:t>
      </w:r>
    </w:p>
    <w:p w14:paraId="2652ABFA" w14:textId="77777777" w:rsidR="00C174CC" w:rsidRPr="009B7E48" w:rsidRDefault="00C174CC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C9C6492" w14:textId="77777777" w:rsidR="00C174CC" w:rsidRPr="009B7E48" w:rsidRDefault="00C174CC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lastRenderedPageBreak/>
        <w:t>Reflektirajuće prozračne tekstilne trake na hlačama (kombinacija traka žute/srebrne/žute boje) širine maksimalno 5,5 cm  i minimalno 7 cm( kombinacija), u skladu s zahtjevima koje propisuje norma za izradu zaštitnog vatrogasnog odijela za požare zatvorenog prostora.</w:t>
      </w:r>
    </w:p>
    <w:p w14:paraId="26CB0B35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Reflektirajuće 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prozračne tekstilne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trak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>e žute/srebrne/žute,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maksimalne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širi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>ne 5</w:t>
      </w:r>
      <w:r w:rsidR="00C174CC" w:rsidRPr="009B7E48">
        <w:rPr>
          <w:rFonts w:ascii="Source Sans Pro" w:eastAsia="Times New Roman" w:hAnsi="Source Sans Pro" w:cs="Times New Roman"/>
          <w:bCs/>
          <w:lang w:val="hr-HR" w:eastAsia="hr-HR"/>
        </w:rPr>
        <w:t>,5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 nalaze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se 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>okmito u bočnim dijelovima nogav</w:t>
      </w:r>
      <w:r w:rsidR="000E238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ica te se minimalno protežu od 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>vodoravno naišivene trake, kombinacija trake žute/srebrne/žute boje minimalne dimenzije 7 cm, koja je našivena po cijelom obimu nogavica jednoredno, maksimalno 15 cm od donjeg ruba nogavice, vertikalno ušivena traka proteže se do donjeg ruba bočnih džepova na nogavicama.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0E2389" w:rsidRPr="009B7E48">
        <w:rPr>
          <w:rFonts w:ascii="Source Sans Pro" w:eastAsia="Times New Roman" w:hAnsi="Source Sans Pro" w:cs="Times New Roman"/>
          <w:bCs/>
          <w:lang w:val="hr-HR" w:eastAsia="hr-HR"/>
        </w:rPr>
        <w:t>D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vostruko po čitavom obodu no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>gavica, ugrađena</w:t>
      </w:r>
      <w:r w:rsidR="00C423E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prva traka minimalno počinje 10</w:t>
      </w:r>
      <w:r w:rsidR="00BF324F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>cm od donjeg ruba nogavice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5679C5BF" w14:textId="77777777" w:rsidR="006B68C3" w:rsidRPr="009B7E48" w:rsidRDefault="00084999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Rub nogavice po cijeloj dužini je obrubljen matrijalom protiv habanja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(ojačanja na laktovima i koljenima)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18A413E5" w14:textId="77777777" w:rsidR="006B68C3" w:rsidRPr="009B7E48" w:rsidRDefault="006B68C3" w:rsidP="00AC1967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unutarnjem dijelu svake nogavice u donjem dijelu nalazi s</w:t>
      </w:r>
      <w:r w:rsidR="000E2389" w:rsidRPr="009B7E48">
        <w:rPr>
          <w:rFonts w:ascii="Source Sans Pro" w:eastAsia="Times New Roman" w:hAnsi="Source Sans Pro" w:cs="Times New Roman"/>
          <w:bCs/>
          <w:lang w:val="hr-HR" w:eastAsia="hr-HR"/>
        </w:rPr>
        <w:t>e barijera protiv upijanja vlage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699BF40F" w14:textId="77777777" w:rsidR="006B68C3" w:rsidRPr="009B7E48" w:rsidRDefault="006B68C3" w:rsidP="00AC1967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EEEC250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8A128E4" w14:textId="77777777" w:rsidR="006B68C3" w:rsidRPr="009B7E48" w:rsidRDefault="006B68C3" w:rsidP="006B68C3">
      <w:pPr>
        <w:numPr>
          <w:ilvl w:val="0"/>
          <w:numId w:val="1"/>
        </w:numPr>
        <w:suppressAutoHyphens/>
        <w:spacing w:after="0" w:line="240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MATERIJAL - TROSLOJAN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</w:r>
    </w:p>
    <w:p w14:paraId="69AA84A6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</w:r>
    </w:p>
    <w:p w14:paraId="4DAFBBA1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3.1.Vanjski materijal :</w:t>
      </w:r>
    </w:p>
    <w:p w14:paraId="69BDFBD5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38730D3F" w14:textId="77777777" w:rsidR="00B24A3D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Vanjski materijal: 70 – 80 % meta-aramid, 20 – 28 % para-aramida i 1,5 – 2 % antistatičko vlakno, ukupne površinske mase 190 (±</w:t>
      </w:r>
      <w:r w:rsidR="008B388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5) g/m2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30CFEED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3409CC53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3.2. Membrana:</w:t>
      </w:r>
    </w:p>
    <w:p w14:paraId="76F0646A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F4935A8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PTFE membrana, vodone</w:t>
      </w:r>
      <w:r w:rsidR="008B3887" w:rsidRPr="009B7E48">
        <w:rPr>
          <w:rFonts w:ascii="Source Sans Pro" w:eastAsia="Times New Roman" w:hAnsi="Source Sans Pro" w:cs="Times New Roman"/>
          <w:bCs/>
          <w:lang w:val="hr-HR" w:eastAsia="hr-HR"/>
        </w:rPr>
        <w:t>propusna i paropropusna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 Barijera za vlagu i termo barijera moraju biti zajedno kao dvoslojni lam</w:t>
      </w:r>
      <w:r w:rsidR="008B3887" w:rsidRPr="009B7E48">
        <w:rPr>
          <w:rFonts w:ascii="Source Sans Pro" w:eastAsia="Times New Roman" w:hAnsi="Source Sans Pro" w:cs="Times New Roman"/>
          <w:bCs/>
          <w:lang w:val="hr-HR" w:eastAsia="hr-HR"/>
        </w:rPr>
        <w:t>inirani material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 Ukupna površinska</w:t>
      </w:r>
      <w:r w:rsidR="003E687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masa ne veća od 14</w:t>
      </w:r>
      <w:r w:rsidR="008B3887" w:rsidRPr="009B7E48">
        <w:rPr>
          <w:rFonts w:ascii="Source Sans Pro" w:eastAsia="Times New Roman" w:hAnsi="Source Sans Pro" w:cs="Times New Roman"/>
          <w:bCs/>
          <w:lang w:val="hr-HR" w:eastAsia="hr-HR"/>
        </w:rPr>
        <w:t>0 g/m2.</w:t>
      </w:r>
    </w:p>
    <w:p w14:paraId="369C77AD" w14:textId="77777777" w:rsidR="006B68C3" w:rsidRPr="009B7E48" w:rsidRDefault="008B3887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2BA7F540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5786413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3.3. Podstava:</w:t>
      </w:r>
    </w:p>
    <w:p w14:paraId="56A42636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25AC260" w14:textId="77777777" w:rsidR="006B68C3" w:rsidRPr="009B7E48" w:rsidRDefault="008B3887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Materijal podstave</w:t>
      </w:r>
      <w:r w:rsidR="003E687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površinske mase  ne veće od 220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g/m</w:t>
      </w:r>
      <w:r w:rsidRPr="009B7E48">
        <w:rPr>
          <w:rFonts w:ascii="Source Sans Pro" w:eastAsia="Times New Roman" w:hAnsi="Source Sans Pro" w:cs="Calibri"/>
          <w:bCs/>
          <w:lang w:val="hr-HR" w:eastAsia="hr-HR"/>
        </w:rPr>
        <w:t>²</w:t>
      </w:r>
    </w:p>
    <w:p w14:paraId="1EDFD822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C73628D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Maksimalna masa svih slojeva materijala vatroga</w:t>
      </w:r>
      <w:r w:rsidR="0013364A" w:rsidRPr="009B7E48">
        <w:rPr>
          <w:rFonts w:ascii="Source Sans Pro" w:eastAsia="Times New Roman" w:hAnsi="Source Sans Pro" w:cs="Times New Roman"/>
          <w:bCs/>
          <w:lang w:val="hr-HR" w:eastAsia="hr-HR"/>
        </w:rPr>
        <w:t>snog interventnog odijela  ≤ 560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g/m².</w:t>
      </w:r>
    </w:p>
    <w:p w14:paraId="419878AA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159E981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15FA1E0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CD1E811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6BC097E9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5690A746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066E1C59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494235BC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1250352F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A14F92F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lastRenderedPageBreak/>
        <w:t>3.4. Svojstva</w:t>
      </w:r>
    </w:p>
    <w:p w14:paraId="01A840E4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ECE22E0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Tablica 1 – Zahtjevi čvrstoće</w:t>
      </w:r>
    </w:p>
    <w:p w14:paraId="351CC01F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tbl>
      <w:tblPr>
        <w:tblW w:w="101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3"/>
        <w:gridCol w:w="5104"/>
      </w:tblGrid>
      <w:tr w:rsidR="0018756D" w:rsidRPr="009B7E48" w14:paraId="39183E1B" w14:textId="77777777" w:rsidTr="003560FB"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34F3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Materijal: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1BA4" w14:textId="77777777" w:rsidR="006B68C3" w:rsidRPr="009B7E48" w:rsidRDefault="000D3CA9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Vlačna č</w:t>
            </w:r>
            <w:r w:rsidR="003560F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vrstoća prema HRN 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EN ISO 13934-1</w:t>
            </w:r>
            <w:r w:rsidR="003560F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(tkani tekstil/HRN EN ISO 1421:2016 metoda 1 naslojeni te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kstil) nakon prethodne ili jednakovrijedno</w:t>
            </w:r>
          </w:p>
        </w:tc>
      </w:tr>
      <w:tr w:rsidR="0018756D" w:rsidRPr="009B7E48" w14:paraId="3D417E30" w14:textId="77777777" w:rsidTr="003560FB">
        <w:trPr>
          <w:trHeight w:val="62"/>
        </w:trPr>
        <w:tc>
          <w:tcPr>
            <w:tcW w:w="5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353A1" w14:textId="77777777" w:rsidR="006B68C3" w:rsidRPr="009B7E48" w:rsidRDefault="003560FB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Zahtjev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4A76" w14:textId="77777777" w:rsidR="006B68C3" w:rsidRPr="009B7E48" w:rsidRDefault="00922402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                                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="00E65FE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135</w:t>
            </w:r>
            <w:r w:rsidR="003560F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 N</w:t>
            </w:r>
          </w:p>
        </w:tc>
      </w:tr>
      <w:tr w:rsidR="0018756D" w:rsidRPr="009B7E48" w14:paraId="6C822DDA" w14:textId="77777777" w:rsidTr="003560FB">
        <w:trPr>
          <w:trHeight w:val="61"/>
        </w:trPr>
        <w:tc>
          <w:tcPr>
            <w:tcW w:w="5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2D1CE" w14:textId="77777777" w:rsidR="006B68C3" w:rsidRPr="009B7E48" w:rsidRDefault="006B68C3" w:rsidP="006B68C3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818F" w14:textId="77777777" w:rsidR="006B68C3" w:rsidRPr="009B7E48" w:rsidRDefault="00922402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 xml:space="preserve">                                 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="000D3CA9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18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</w:t>
            </w:r>
            <w:r w:rsidR="003560F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 N</w:t>
            </w:r>
          </w:p>
        </w:tc>
      </w:tr>
    </w:tbl>
    <w:p w14:paraId="5925FB68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12A9E53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Tablica 2 - Zahtjevi koji se odnose na već opisani troslojni materijal (sendvič):</w:t>
      </w:r>
    </w:p>
    <w:p w14:paraId="7B088BF3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tbl>
      <w:tblPr>
        <w:tblW w:w="101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710"/>
      </w:tblGrid>
      <w:tr w:rsidR="0018756D" w:rsidRPr="009B7E48" w14:paraId="5A0CF078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DD327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Svojstvo: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A4BF8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Norma: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149E7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Zahtjev:</w:t>
            </w:r>
          </w:p>
        </w:tc>
      </w:tr>
      <w:tr w:rsidR="0018756D" w:rsidRPr="009B7E48" w14:paraId="476B1375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2055C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Ograničeno širenje plamena 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</w:t>
            </w:r>
            <w:r w:rsidR="000D3CA9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ovršinska tkanina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46520" w14:textId="77777777" w:rsidR="006B68C3" w:rsidRPr="009B7E48" w:rsidRDefault="003560FB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EN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ISO </w:t>
            </w:r>
            <w:r w:rsidR="00C11035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15025</w:t>
            </w:r>
            <w:r w:rsidR="00C11035" w:rsidRPr="009B7E48">
              <w:rPr>
                <w:rFonts w:ascii="Source Sans Pro" w:hAnsi="Source Sans Pro"/>
                <w:bCs/>
              </w:rPr>
              <w:t xml:space="preserve"> </w:t>
            </w:r>
            <w:r w:rsidR="00C11035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Metoda A, prije prethodne obrade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ili jednakovrijednim,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5A24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48D6BE91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71598FF2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- nema</w:t>
            </w:r>
          </w:p>
          <w:p w14:paraId="13F43DDD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-naknadno tinjanje - nema </w:t>
            </w:r>
          </w:p>
          <w:p w14:paraId="1BF60002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04A4FCFC" w14:textId="77777777" w:rsidTr="00D277E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65B53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Ograničeno širenje plamena 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Membrana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A679A" w14:textId="77777777" w:rsidR="000D3CA9" w:rsidRPr="009B7E48" w:rsidRDefault="000D3CA9" w:rsidP="00D277E0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15025</w:t>
            </w:r>
            <w:r w:rsidRPr="009B7E48">
              <w:rPr>
                <w:rFonts w:ascii="Source Sans Pro" w:hAnsi="Source Sans Pro"/>
                <w:bCs/>
              </w:rPr>
              <w:t xml:space="preserve">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Metoda A, prije prethodne obrade ili jednakovrijednim,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560E1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23C25ABA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721F53E1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- nema</w:t>
            </w:r>
          </w:p>
          <w:p w14:paraId="36E1D56D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-naknadno tinjanje - nema </w:t>
            </w:r>
          </w:p>
          <w:p w14:paraId="10C585A6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00262E47" w14:textId="77777777" w:rsidTr="00D277E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A148E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Ograničeno širenje plamena Podstava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37096" w14:textId="77777777" w:rsidR="0012763F" w:rsidRPr="009B7E48" w:rsidRDefault="0012763F" w:rsidP="00D277E0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15025</w:t>
            </w:r>
            <w:r w:rsidRPr="009B7E48">
              <w:rPr>
                <w:rFonts w:ascii="Source Sans Pro" w:hAnsi="Source Sans Pro"/>
                <w:bCs/>
              </w:rPr>
              <w:t xml:space="preserve">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Metoda A, prije prethodne obrade ili jednakovrijednim,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2500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5CEF4A3D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62FFECCF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- nema</w:t>
            </w:r>
          </w:p>
          <w:p w14:paraId="0F2CBB8F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-naknadno tinjanje - nema </w:t>
            </w:r>
          </w:p>
          <w:p w14:paraId="4224282D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62CB5296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A0ACC" w14:textId="77777777" w:rsidR="00C11035" w:rsidRPr="009B7E48" w:rsidRDefault="00C11035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Ograničeno širenje plamena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Površinska tkanina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D0603" w14:textId="77777777" w:rsidR="00C11035" w:rsidRPr="009B7E48" w:rsidRDefault="00C11035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EN ISO 15025 Metoda A, nakon 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prethodne obrade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ili jednakovrijednim,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10B" w14:textId="77777777" w:rsidR="00C11035" w:rsidRPr="009B7E48" w:rsidRDefault="00C11035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14ADF66E" w14:textId="77777777" w:rsidR="00C11035" w:rsidRPr="009B7E48" w:rsidRDefault="00C11035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70D38EDC" w14:textId="77777777" w:rsidR="00C11035" w:rsidRPr="009B7E48" w:rsidRDefault="00C11035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-naknadno gorenje 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–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nema</w:t>
            </w:r>
          </w:p>
          <w:p w14:paraId="7F1C70E6" w14:textId="77777777" w:rsidR="0012763F" w:rsidRPr="009B7E48" w:rsidRDefault="0012763F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tinjanje - nema</w:t>
            </w:r>
          </w:p>
          <w:p w14:paraId="012425D0" w14:textId="77777777" w:rsidR="00C11035" w:rsidRPr="009B7E48" w:rsidRDefault="00C11035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774087E0" w14:textId="77777777" w:rsidTr="00D277E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C1CE9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Ograničeno širenje plamena Membrana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DE27A" w14:textId="77777777" w:rsidR="0012763F" w:rsidRPr="009B7E48" w:rsidRDefault="0012763F" w:rsidP="00D277E0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15025 Metoda A, nakon prethodne obrade ili jednakovrijednim,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0EE6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553690AE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29593842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lastRenderedPageBreak/>
              <w:t>-naknadno gorenje – nema</w:t>
            </w:r>
          </w:p>
          <w:p w14:paraId="5ECFF5AB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tinjanje - nema</w:t>
            </w:r>
          </w:p>
          <w:p w14:paraId="6B109C13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5FF2F089" w14:textId="77777777" w:rsidTr="00D277E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989B3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lastRenderedPageBreak/>
              <w:t>Ograničeno širenje plamena Podstava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44C1A" w14:textId="77777777" w:rsidR="0012763F" w:rsidRPr="009B7E48" w:rsidRDefault="0012763F" w:rsidP="00D277E0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15025 Metoda A, nakon prethodne obrade ili jednakovrijednim,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6481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0DF46CC0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74FCCAF4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– nema</w:t>
            </w:r>
          </w:p>
          <w:p w14:paraId="2102DE3D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tinjanje - nema</w:t>
            </w:r>
          </w:p>
          <w:p w14:paraId="06149DB6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5A47FF45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29210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Otpornost pri izlaganju izvoru topline zračenja (radijacijska toplina)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A1E92" w14:textId="77777777" w:rsidR="006B68C3" w:rsidRPr="009B7E48" w:rsidRDefault="00C11035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6942</w:t>
            </w:r>
            <w:r w:rsidRPr="009B7E48">
              <w:rPr>
                <w:rFonts w:ascii="Source Sans Pro" w:hAnsi="Source Sans Pro"/>
                <w:bCs/>
              </w:rPr>
              <w:t xml:space="preserve">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Metoda B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="005C09D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ili jednakovrijednim,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gustoća toplinskog toka 40 kW/m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²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prije prethodne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87B4" w14:textId="77777777" w:rsidR="006B68C3" w:rsidRPr="009B7E48" w:rsidRDefault="0086135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RHTI24 veće od 23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(s)</w:t>
            </w:r>
          </w:p>
          <w:p w14:paraId="5D59D4DD" w14:textId="77777777" w:rsidR="006B68C3" w:rsidRPr="009B7E48" w:rsidRDefault="008A2691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RHTI24-RHTI12 veće od 6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(s)</w:t>
            </w:r>
          </w:p>
        </w:tc>
      </w:tr>
      <w:tr w:rsidR="0018756D" w:rsidRPr="009B7E48" w14:paraId="2DAED8B4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8E3DE" w14:textId="77777777" w:rsidR="00D01F84" w:rsidRPr="009B7E48" w:rsidRDefault="00D01F84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Otpornost pri izlaganju izvoru topline zračenja (radijacijska toplina)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A8168" w14:textId="77777777" w:rsidR="00D01F84" w:rsidRPr="009B7E48" w:rsidRDefault="00D01F84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6942 Metoda B ili jednakovrij</w:t>
            </w:r>
            <w:r w:rsidR="008A2691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ednim, gustoća toplinskog toka 4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 kW/m²nakon</w:t>
            </w:r>
            <w:r w:rsidR="008A2691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prethodne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50BE" w14:textId="77777777" w:rsidR="00D01F84" w:rsidRPr="009B7E48" w:rsidRDefault="00861353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RHTI24 veće od 28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(s)</w:t>
            </w:r>
          </w:p>
          <w:p w14:paraId="75ED5A51" w14:textId="77777777" w:rsidR="00D01F84" w:rsidRPr="009B7E48" w:rsidRDefault="008A2691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RHTI24-RHTI12 veće od 7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(s)</w:t>
            </w:r>
          </w:p>
        </w:tc>
      </w:tr>
      <w:tr w:rsidR="0018756D" w:rsidRPr="009B7E48" w14:paraId="39EB8E2A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C2DDC" w14:textId="77777777" w:rsidR="005B082D" w:rsidRPr="009B7E48" w:rsidRDefault="005B082D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Preostala vlačna čvrstoća materijala nakon izlaganja toplinskom zračenju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81ACC" w14:textId="77777777" w:rsidR="005B082D" w:rsidRPr="009B7E48" w:rsidRDefault="005B082D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6942, metoda A (gustoća toplinskog toka 10 kW/m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²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) / HRN EN ISO 13934-1/HRN</w:t>
            </w:r>
            <w:r w:rsidR="006C5F41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EN ISO 1421:2016,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nakon prethodne obrade</w:t>
            </w:r>
            <w:r w:rsidR="00602BF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(osnova/potka) N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080E" w14:textId="77777777" w:rsidR="00922402" w:rsidRPr="009B7E48" w:rsidRDefault="00602BF3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Površinska tkanina:</w:t>
            </w:r>
          </w:p>
          <w:p w14:paraId="7066FC57" w14:textId="77777777" w:rsidR="00602BF3" w:rsidRPr="009B7E48" w:rsidRDefault="00922402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 xml:space="preserve">             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140</w:t>
            </w:r>
            <w:r w:rsidR="00602BF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="00602BF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/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2000</w:t>
            </w:r>
          </w:p>
        </w:tc>
      </w:tr>
      <w:tr w:rsidR="0018756D" w:rsidRPr="009B7E48" w14:paraId="0378D9E3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9C524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Otpornost na konvekcijsku toplinu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CAE6D" w14:textId="77777777" w:rsidR="006B68C3" w:rsidRPr="009B7E48" w:rsidRDefault="006B68C3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ISO 17493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="006C5F41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test na 180°C,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li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jednakovrijednim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prije pretodne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55DA" w14:textId="77777777" w:rsidR="00D01F84" w:rsidRPr="009B7E48" w:rsidRDefault="00D01F84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Površinska tkanina:</w:t>
            </w:r>
          </w:p>
          <w:p w14:paraId="1B866643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 smije se taliti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ne 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smije se goriti,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ne smije kapati</w:t>
            </w:r>
          </w:p>
          <w:p w14:paraId="0E0DD88F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Maksimalno skupljanje 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%</w:t>
            </w:r>
            <w:r w:rsidR="00922402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(osnova/potka)-1,0/-1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,0</w:t>
            </w:r>
          </w:p>
          <w:p w14:paraId="44398C9D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Obloga za zaštitu od topline:</w:t>
            </w:r>
          </w:p>
          <w:p w14:paraId="6ED43262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 smije se taliti, ne smije se goriti, ne smije kapati</w:t>
            </w:r>
          </w:p>
          <w:p w14:paraId="5D9DC127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Maksimalno skupljanje 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%</w:t>
            </w:r>
            <w:r w:rsidR="00824152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(osnova/potka) -1,0/-1,0</w:t>
            </w:r>
          </w:p>
          <w:p w14:paraId="0807D036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Podstava:</w:t>
            </w:r>
          </w:p>
          <w:p w14:paraId="2ECB4F55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 smije se taliti, ne smije se goriti, ne smije kapati</w:t>
            </w:r>
          </w:p>
          <w:p w14:paraId="48AF2DB2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Maksimalno skupljanje 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 xml:space="preserve">% </w:t>
            </w:r>
            <w:r w:rsidR="00824152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(osnova/potka) -2,5/-1,5</w:t>
            </w:r>
          </w:p>
        </w:tc>
      </w:tr>
      <w:tr w:rsidR="0018756D" w:rsidRPr="009B7E48" w14:paraId="4D1E0172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B933C" w14:textId="77777777" w:rsidR="005C09D3" w:rsidRPr="009B7E48" w:rsidRDefault="005C09D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lastRenderedPageBreak/>
              <w:t>Kontaktna temperatura ispitivanje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C405C" w14:textId="77777777" w:rsidR="005C09D3" w:rsidRPr="009B7E48" w:rsidRDefault="005C09D3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12127-1 na 250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°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C,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ili jednakovrijednim, prije pretodne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E1EA" w14:textId="77777777" w:rsidR="005C09D3" w:rsidRPr="009B7E48" w:rsidRDefault="005C09D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Sastav materijala:</w:t>
            </w:r>
          </w:p>
          <w:p w14:paraId="6F709556" w14:textId="77777777" w:rsidR="005C09D3" w:rsidRPr="009B7E48" w:rsidRDefault="0086135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Granično vrijeme (s) min 16</w:t>
            </w:r>
          </w:p>
        </w:tc>
      </w:tr>
      <w:tr w:rsidR="0018756D" w:rsidRPr="009B7E48" w14:paraId="7B8C2DA7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A6056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Kontaktna temperatura ispitivanje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E88A0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12127-1 na 250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°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C, ili jednakovrijednim,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nako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n pretodne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439C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Sastav materijala:</w:t>
            </w:r>
          </w:p>
          <w:p w14:paraId="1B0A7737" w14:textId="77777777" w:rsidR="00F539DB" w:rsidRPr="009B7E48" w:rsidRDefault="00861353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Granično vrijeme (s) min 17</w:t>
            </w:r>
          </w:p>
        </w:tc>
      </w:tr>
      <w:tr w:rsidR="0018756D" w:rsidRPr="009B7E48" w14:paraId="2849D83B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0541B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Prijenos topline pri izlaganju plamenom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77424" w14:textId="77777777" w:rsidR="00F539DB" w:rsidRPr="009B7E48" w:rsidRDefault="00C04718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EN ISO 9151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ili jednakovrijednim prije prethodne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44E0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HTI 24 minimalno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21</w:t>
            </w:r>
          </w:p>
          <w:p w14:paraId="6B61F6E6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HTI24 – HTI12 minimalno 5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,5</w:t>
            </w:r>
          </w:p>
        </w:tc>
      </w:tr>
      <w:tr w:rsidR="0018756D" w:rsidRPr="009B7E48" w14:paraId="43BED164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920E2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Prijenos topline pri izlaganju plamenom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F4295" w14:textId="77777777" w:rsidR="00F539DB" w:rsidRPr="009B7E48" w:rsidRDefault="00C04718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EN ISO 9151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ili jednakovrijednim nakon prethodne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4F16" w14:textId="77777777" w:rsidR="00F539DB" w:rsidRPr="009B7E48" w:rsidRDefault="00C04718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HTI 24 minimalno 22</w:t>
            </w:r>
          </w:p>
          <w:p w14:paraId="5D98A355" w14:textId="77777777" w:rsidR="00F539DB" w:rsidRPr="009B7E48" w:rsidRDefault="00861353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HTI24 – HTI12 minimalno 6</w:t>
            </w:r>
          </w:p>
        </w:tc>
      </w:tr>
      <w:tr w:rsidR="0018756D" w:rsidRPr="009B7E48" w14:paraId="402CB13F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3CE2F" w14:textId="77777777" w:rsidR="00F539DB" w:rsidRPr="009B7E48" w:rsidRDefault="005B082D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Propusnost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vodene pare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svih slojeva materijala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9A749" w14:textId="77777777" w:rsidR="00F539DB" w:rsidRPr="009B7E48" w:rsidRDefault="005B082D" w:rsidP="00F539DB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EN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ISO </w:t>
            </w:r>
            <w:r w:rsidR="0013364A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31092 nakon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prethodne obrade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ili jednakovrijednim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5690" w14:textId="77777777" w:rsidR="00F539DB" w:rsidRPr="009B7E48" w:rsidRDefault="00861353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Ret≤ 18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m2PaW</w:t>
            </w:r>
          </w:p>
        </w:tc>
      </w:tr>
      <w:tr w:rsidR="0018756D" w:rsidRPr="009B7E48" w14:paraId="71D5928E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89D0D" w14:textId="77777777" w:rsidR="00824152" w:rsidRPr="009B7E48" w:rsidRDefault="00824152" w:rsidP="00824152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Otpornost na prodiranje vode </w:t>
            </w:r>
          </w:p>
          <w:p w14:paraId="32CDA310" w14:textId="77777777" w:rsidR="00824152" w:rsidRPr="009B7E48" w:rsidRDefault="00824152" w:rsidP="00824152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55E27" w14:textId="77777777" w:rsidR="00824152" w:rsidRPr="009B7E48" w:rsidRDefault="00824152" w:rsidP="00F539DB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811, Razina 2 nakon 25 pranja pri 60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°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C</w:t>
            </w:r>
            <w:r w:rsidR="00851F10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ili jednakovrijedno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C0A2" w14:textId="77777777" w:rsidR="00824152" w:rsidRPr="009B7E48" w:rsidRDefault="00824152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Membrana kPa       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100</w:t>
            </w:r>
          </w:p>
          <w:p w14:paraId="39CFBEC0" w14:textId="77777777" w:rsidR="00824152" w:rsidRPr="009B7E48" w:rsidRDefault="00824152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Membrana šav kPa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100</w:t>
            </w:r>
          </w:p>
        </w:tc>
      </w:tr>
    </w:tbl>
    <w:p w14:paraId="29644FD8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0857C77F" w14:textId="77777777" w:rsidR="00BF6019" w:rsidRPr="009B7E48" w:rsidRDefault="00BF6019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A8D0531" w14:textId="77777777" w:rsidR="006B68C3" w:rsidRPr="009B7E48" w:rsidRDefault="005E326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Dokazi jednakovrijednosti dokazuju se sukladno članku 213. ZJN.</w:t>
      </w:r>
    </w:p>
    <w:p w14:paraId="7F0CE929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D59CB39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8D610F6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4. OZNAKE (DEKLARIRANJE)</w:t>
      </w:r>
    </w:p>
    <w:p w14:paraId="7755A39A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B723CEA" w14:textId="77777777" w:rsidR="006B68C3" w:rsidRPr="009B7E48" w:rsidRDefault="00FD1C0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zaštitno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odijelo se označava etiketama (deklaracijama) kako slijedi:</w:t>
      </w:r>
    </w:p>
    <w:p w14:paraId="58979B1F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B26E45B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E1346B5" w14:textId="77777777" w:rsidR="006B68C3" w:rsidRPr="009B7E48" w:rsidRDefault="006B68C3" w:rsidP="006B68C3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u w:val="single"/>
          <w:lang w:val="hr-HR" w:eastAsia="hr-HR"/>
        </w:rPr>
        <w:t>Ušivnom etiketom (deklaracijom)</w:t>
      </w:r>
    </w:p>
    <w:p w14:paraId="348C6AD1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09EA9E55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interventno odijelo ima ušivenu etiketu, najmanje s elementima i podacima:</w:t>
      </w:r>
    </w:p>
    <w:p w14:paraId="08C8E485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Naziv proizvođača</w:t>
      </w:r>
    </w:p>
    <w:p w14:paraId="1DF37A4A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naziv artikla i poštivana oznaka norma</w:t>
      </w:r>
    </w:p>
    <w:p w14:paraId="20A736A9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točan naziv i sastav osnovnog materijala</w:t>
      </w:r>
    </w:p>
    <w:p w14:paraId="49E8B9B3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 xml:space="preserve">veličina s piktogramom na kojem su upisane prsna mjera, opseg struka i visina tijela za </w:t>
      </w:r>
      <w:r w:rsidR="0074333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  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određenu konfekcijsku veličinu</w:t>
      </w:r>
    </w:p>
    <w:p w14:paraId="0028ECBC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godina proizvodnje</w:t>
      </w:r>
    </w:p>
    <w:p w14:paraId="3D0EA092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 xml:space="preserve">piktogram s oznakama </w:t>
      </w:r>
    </w:p>
    <w:p w14:paraId="7532C453" w14:textId="77777777" w:rsidR="006B68C3" w:rsidRPr="009B7E48" w:rsidRDefault="006B68C3" w:rsidP="0018756D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simbole održavan</w:t>
      </w:r>
      <w:r w:rsidR="00FD1C03" w:rsidRPr="009B7E48">
        <w:rPr>
          <w:rFonts w:ascii="Source Sans Pro" w:eastAsia="Times New Roman" w:hAnsi="Source Sans Pro" w:cs="Times New Roman"/>
          <w:bCs/>
          <w:lang w:val="hr-HR" w:eastAsia="hr-HR"/>
        </w:rPr>
        <w:t>ja i njege tkanine</w:t>
      </w:r>
    </w:p>
    <w:p w14:paraId="37A290B9" w14:textId="77777777" w:rsidR="00BF6019" w:rsidRPr="009B7E48" w:rsidRDefault="00BF6019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color w:val="FF0000"/>
          <w:u w:val="single"/>
          <w:lang w:val="hr-HR" w:eastAsia="hr-HR"/>
        </w:rPr>
      </w:pPr>
    </w:p>
    <w:p w14:paraId="77CCFF83" w14:textId="77777777" w:rsidR="0074333A" w:rsidRPr="009B7E48" w:rsidRDefault="0074333A" w:rsidP="00601F5D">
      <w:pPr>
        <w:rPr>
          <w:rFonts w:ascii="Source Sans Pro" w:hAnsi="Source Sans Pro"/>
          <w:bCs/>
        </w:rPr>
      </w:pPr>
    </w:p>
    <w:sectPr w:rsidR="0074333A" w:rsidRPr="009B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2F5471D2"/>
    <w:multiLevelType w:val="hybridMultilevel"/>
    <w:tmpl w:val="10DE83FE"/>
    <w:lvl w:ilvl="0" w:tplc="80C442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5073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651538">
    <w:abstractNumId w:val="3"/>
    <w:lvlOverride w:ilvl="0">
      <w:startOverride w:val="1"/>
    </w:lvlOverride>
  </w:num>
  <w:num w:numId="3" w16cid:durableId="2049333788">
    <w:abstractNumId w:val="1"/>
  </w:num>
  <w:num w:numId="4" w16cid:durableId="466895837">
    <w:abstractNumId w:val="0"/>
  </w:num>
  <w:num w:numId="5" w16cid:durableId="132481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5D"/>
    <w:rsid w:val="00031D33"/>
    <w:rsid w:val="00073797"/>
    <w:rsid w:val="00084999"/>
    <w:rsid w:val="00094EEB"/>
    <w:rsid w:val="000C5A3A"/>
    <w:rsid w:val="000D3CA9"/>
    <w:rsid w:val="000E2211"/>
    <w:rsid w:val="000E2389"/>
    <w:rsid w:val="000E5FFC"/>
    <w:rsid w:val="000E6341"/>
    <w:rsid w:val="000F09D2"/>
    <w:rsid w:val="0012763F"/>
    <w:rsid w:val="0013364A"/>
    <w:rsid w:val="0018756D"/>
    <w:rsid w:val="001A1FB1"/>
    <w:rsid w:val="001E77FF"/>
    <w:rsid w:val="001F2926"/>
    <w:rsid w:val="0021176C"/>
    <w:rsid w:val="002321B4"/>
    <w:rsid w:val="00251D3B"/>
    <w:rsid w:val="002A1235"/>
    <w:rsid w:val="002A44CB"/>
    <w:rsid w:val="002A7BC9"/>
    <w:rsid w:val="002B3EAD"/>
    <w:rsid w:val="002D5BAD"/>
    <w:rsid w:val="003560FB"/>
    <w:rsid w:val="003A6B0A"/>
    <w:rsid w:val="003E6874"/>
    <w:rsid w:val="00416401"/>
    <w:rsid w:val="00491566"/>
    <w:rsid w:val="004E2C9E"/>
    <w:rsid w:val="005056D5"/>
    <w:rsid w:val="005320FA"/>
    <w:rsid w:val="00573369"/>
    <w:rsid w:val="005B082D"/>
    <w:rsid w:val="005C09D3"/>
    <w:rsid w:val="005C658E"/>
    <w:rsid w:val="005E3263"/>
    <w:rsid w:val="005E52BB"/>
    <w:rsid w:val="00601F5D"/>
    <w:rsid w:val="00602BF3"/>
    <w:rsid w:val="00607E0D"/>
    <w:rsid w:val="00617D3C"/>
    <w:rsid w:val="006306E8"/>
    <w:rsid w:val="00655AC4"/>
    <w:rsid w:val="00694DBC"/>
    <w:rsid w:val="00696512"/>
    <w:rsid w:val="006B68C3"/>
    <w:rsid w:val="006C5F41"/>
    <w:rsid w:val="00736EDF"/>
    <w:rsid w:val="0074333A"/>
    <w:rsid w:val="007500AF"/>
    <w:rsid w:val="007A1ACE"/>
    <w:rsid w:val="00820F85"/>
    <w:rsid w:val="00824152"/>
    <w:rsid w:val="00834E6A"/>
    <w:rsid w:val="00851F10"/>
    <w:rsid w:val="00856AD8"/>
    <w:rsid w:val="008601A9"/>
    <w:rsid w:val="00861353"/>
    <w:rsid w:val="008A2691"/>
    <w:rsid w:val="008B3887"/>
    <w:rsid w:val="008B530B"/>
    <w:rsid w:val="008E5878"/>
    <w:rsid w:val="00922402"/>
    <w:rsid w:val="0092271A"/>
    <w:rsid w:val="0092568E"/>
    <w:rsid w:val="009541AE"/>
    <w:rsid w:val="00960D46"/>
    <w:rsid w:val="009B7E48"/>
    <w:rsid w:val="00A934E1"/>
    <w:rsid w:val="00AC1967"/>
    <w:rsid w:val="00AE67A1"/>
    <w:rsid w:val="00B24A3D"/>
    <w:rsid w:val="00B92735"/>
    <w:rsid w:val="00BA117B"/>
    <w:rsid w:val="00BF324F"/>
    <w:rsid w:val="00BF6019"/>
    <w:rsid w:val="00C04718"/>
    <w:rsid w:val="00C11035"/>
    <w:rsid w:val="00C174CC"/>
    <w:rsid w:val="00C423EA"/>
    <w:rsid w:val="00C65518"/>
    <w:rsid w:val="00C8754C"/>
    <w:rsid w:val="00CA5C04"/>
    <w:rsid w:val="00CD522C"/>
    <w:rsid w:val="00CE061A"/>
    <w:rsid w:val="00D01F84"/>
    <w:rsid w:val="00D03174"/>
    <w:rsid w:val="00D16F9F"/>
    <w:rsid w:val="00D22AA3"/>
    <w:rsid w:val="00D361F0"/>
    <w:rsid w:val="00DA572A"/>
    <w:rsid w:val="00DB03DC"/>
    <w:rsid w:val="00DF357C"/>
    <w:rsid w:val="00E36D12"/>
    <w:rsid w:val="00E65FE3"/>
    <w:rsid w:val="00EC2D03"/>
    <w:rsid w:val="00ED26A0"/>
    <w:rsid w:val="00ED6446"/>
    <w:rsid w:val="00F02807"/>
    <w:rsid w:val="00F30AB3"/>
    <w:rsid w:val="00F539DB"/>
    <w:rsid w:val="00FB5165"/>
    <w:rsid w:val="00FB71D2"/>
    <w:rsid w:val="00FD1C0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D171"/>
  <w15:chartTrackingRefBased/>
  <w15:docId w15:val="{B7DB5B33-8002-47E9-8517-FA69BE3D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Brkić</cp:lastModifiedBy>
  <cp:revision>4</cp:revision>
  <dcterms:created xsi:type="dcterms:W3CDTF">2025-01-06T00:36:00Z</dcterms:created>
  <dcterms:modified xsi:type="dcterms:W3CDTF">2025-06-20T09:31:00Z</dcterms:modified>
</cp:coreProperties>
</file>