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C27A2" w14:textId="3DEE4F0D" w:rsidR="004673A6" w:rsidRPr="00507449" w:rsidRDefault="00507449">
      <w:pPr>
        <w:rPr>
          <w:b/>
          <w:bCs/>
        </w:rPr>
      </w:pPr>
      <w:r w:rsidRPr="00507449">
        <w:rPr>
          <w:b/>
          <w:bCs/>
        </w:rPr>
        <w:t>TEHNIČKA SPECIFIKACIJA</w:t>
      </w:r>
    </w:p>
    <w:p w14:paraId="6E828CA6" w14:textId="5C293746" w:rsidR="005F74AC" w:rsidRDefault="005F74AC" w:rsidP="005F74AC">
      <w:pPr>
        <w:rPr>
          <w:rFonts w:ascii="Times New Roman" w:hAnsi="Times New Roman" w:cs="Times New Roman"/>
          <w:b/>
        </w:rPr>
      </w:pPr>
      <w:r>
        <w:rPr>
          <w:rFonts w:ascii="Times New Roman" w:hAnsi="Times New Roman" w:cs="Times New Roman"/>
          <w:b/>
        </w:rPr>
        <w:t xml:space="preserve">Dišni aparat- komplet sa </w:t>
      </w:r>
      <w:r w:rsidR="008F7E05">
        <w:rPr>
          <w:rFonts w:ascii="Times New Roman" w:hAnsi="Times New Roman" w:cs="Times New Roman"/>
          <w:b/>
        </w:rPr>
        <w:t>bocom</w:t>
      </w:r>
    </w:p>
    <w:p w14:paraId="39DF7BAB" w14:textId="77777777" w:rsidR="008F7E05" w:rsidRDefault="005F74AC" w:rsidP="005F74AC">
      <w:pPr>
        <w:rPr>
          <w:rFonts w:ascii="Times New Roman" w:hAnsi="Times New Roman" w:cs="Times New Roman"/>
        </w:rPr>
      </w:pPr>
      <w:r>
        <w:rPr>
          <w:rFonts w:ascii="Times New Roman" w:hAnsi="Times New Roman" w:cs="Times New Roman"/>
          <w:b/>
        </w:rPr>
        <w:t xml:space="preserve">Leđni noseći okvir </w:t>
      </w:r>
      <w:r>
        <w:rPr>
          <w:rFonts w:ascii="Times New Roman" w:hAnsi="Times New Roman" w:cs="Times New Roman"/>
        </w:rPr>
        <w:t>: ergonomskog oblika, otporan na toplinu, sukladnost sa HRN EN 137, tip 2,     okvir male težina ; s reduktorom, manometrom i kompletnim remenjem max 3,00 kg.</w:t>
      </w:r>
      <w:r>
        <w:rPr>
          <w:rFonts w:ascii="Times New Roman" w:hAnsi="Times New Roman" w:cs="Times New Roman"/>
        </w:rPr>
        <w:tab/>
        <w:t xml:space="preserve">         </w:t>
      </w:r>
      <w:r>
        <w:rPr>
          <w:rFonts w:ascii="Times New Roman" w:hAnsi="Times New Roman" w:cs="Times New Roman"/>
          <w:b/>
        </w:rPr>
        <w:t xml:space="preserve">Reduktor: </w:t>
      </w:r>
      <w:r>
        <w:rPr>
          <w:rFonts w:ascii="Times New Roman" w:hAnsi="Times New Roman" w:cs="Times New Roman"/>
        </w:rPr>
        <w:t xml:space="preserve">ulazni tlak 0 – 300 bar, Izlazni protok 1. stupnja &gt; 1000 l/min, </w:t>
      </w:r>
      <w:r>
        <w:rPr>
          <w:rFonts w:ascii="Times New Roman" w:hAnsi="Times New Roman" w:cs="Times New Roman"/>
        </w:rPr>
        <w:tab/>
      </w:r>
      <w:r>
        <w:rPr>
          <w:rFonts w:ascii="Times New Roman" w:hAnsi="Times New Roman" w:cs="Times New Roman"/>
        </w:rPr>
        <w:tab/>
        <w:t xml:space="preserve">        nominalni izlazni tlak 1. stupnja 7,5 bar. Dovod srednjeg tlaka i crijeva manometra potpuno ugrađena u okvir za nošenje radi smanjenja rizika zapinjanja, a sa prednje strane srednje tlačno crijevo i crijevo s manometrom pričvršćeno s kopčama uz </w:t>
      </w:r>
      <w:r w:rsidR="00362B38">
        <w:rPr>
          <w:rFonts w:ascii="Times New Roman" w:hAnsi="Times New Roman" w:cs="Times New Roman"/>
        </w:rPr>
        <w:t>naramenice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b/>
        </w:rPr>
        <w:t>Plućni automat</w:t>
      </w:r>
      <w:r>
        <w:rPr>
          <w:rFonts w:ascii="Times New Roman" w:hAnsi="Times New Roman" w:cs="Times New Roman"/>
        </w:rPr>
        <w:t xml:space="preserve"> spajanje/odvajanje brzom spojnicom od srednje-tlačnog crijeva nosećeg okvira. Nadtlak , brza utična spojnica za spajanje na zaštitnu masku.                                                             Izlazni protok  plućnog automata &gt;400 l/min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b/>
        </w:rPr>
        <w:t>Zaštitna maska</w:t>
      </w:r>
      <w:r>
        <w:rPr>
          <w:rFonts w:ascii="Times New Roman" w:hAnsi="Times New Roman" w:cs="Times New Roman"/>
        </w:rPr>
        <w:t xml:space="preserve"> sukladna HRN EN 136, klasa 3, materijal maske mješavina gume (EPDM), vizir širokog panoramskog oblika, od polikarbonata – otpornog na udarce i toplinu s dodatnim premazom protiv grebanja. Spajanje remenje u 5 točki i dodatni vratni remen.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Mogućnost izbora maske u 3 veličine.</w:t>
      </w:r>
    </w:p>
    <w:p w14:paraId="5F688E0F" w14:textId="77777777" w:rsidR="008F7E05" w:rsidRDefault="008F7E05" w:rsidP="005F74AC">
      <w:pPr>
        <w:rPr>
          <w:rFonts w:ascii="Times New Roman" w:hAnsi="Times New Roman" w:cs="Times New Roman"/>
        </w:rPr>
      </w:pPr>
    </w:p>
    <w:p w14:paraId="247FBB8D" w14:textId="138A779D" w:rsidR="00FB3A9D" w:rsidRPr="00FB3A9D" w:rsidRDefault="00556698" w:rsidP="00FB3A9D">
      <w:pPr>
        <w:pStyle w:val="Odlomakpopisa"/>
        <w:numPr>
          <w:ilvl w:val="0"/>
          <w:numId w:val="1"/>
        </w:numPr>
        <w:rPr>
          <w:rFonts w:ascii="Times New Roman" w:hAnsi="Times New Roman" w:cs="Times New Roman"/>
        </w:rPr>
      </w:pPr>
      <w:r w:rsidRPr="00FB3A9D">
        <w:rPr>
          <w:rFonts w:ascii="Times New Roman" w:hAnsi="Times New Roman" w:cs="Times New Roman"/>
          <w:b/>
        </w:rPr>
        <w:t xml:space="preserve">Boca zraka, </w:t>
      </w:r>
      <w:r w:rsidRPr="00FB3A9D">
        <w:rPr>
          <w:rFonts w:ascii="Times New Roman" w:hAnsi="Times New Roman" w:cs="Times New Roman"/>
          <w:bCs/>
        </w:rPr>
        <w:t>čelična-</w:t>
      </w:r>
      <w:r w:rsidRPr="00FB3A9D">
        <w:rPr>
          <w:rFonts w:ascii="Times New Roman" w:hAnsi="Times New Roman" w:cs="Times New Roman"/>
          <w:b/>
        </w:rPr>
        <w:t xml:space="preserve">  </w:t>
      </w:r>
      <w:r w:rsidRPr="00FB3A9D">
        <w:rPr>
          <w:rFonts w:ascii="Times New Roman" w:hAnsi="Times New Roman" w:cs="Times New Roman"/>
          <w:bCs/>
        </w:rPr>
        <w:t>tip boce 1</w:t>
      </w:r>
      <w:r w:rsidRPr="00FB3A9D">
        <w:rPr>
          <w:rFonts w:ascii="Times New Roman" w:hAnsi="Times New Roman" w:cs="Times New Roman"/>
          <w:b/>
        </w:rPr>
        <w:t xml:space="preserve"> </w:t>
      </w:r>
      <w:r w:rsidRPr="00FB3A9D">
        <w:rPr>
          <w:rFonts w:ascii="Times New Roman" w:hAnsi="Times New Roman" w:cs="Times New Roman"/>
          <w:bCs/>
        </w:rPr>
        <w:t>6L/</w:t>
      </w:r>
      <w:r w:rsidRPr="00FB3A9D">
        <w:rPr>
          <w:rFonts w:ascii="Times New Roman" w:hAnsi="Times New Roman" w:cs="Times New Roman"/>
        </w:rPr>
        <w:t>300 bar, sukladna sa normom HRN EN 12245, neograničenog vijeka trajanja</w:t>
      </w:r>
      <w:r w:rsidR="00FB3A9D" w:rsidRPr="00FB3A9D">
        <w:rPr>
          <w:rFonts w:ascii="Times New Roman" w:hAnsi="Times New Roman" w:cs="Times New Roman"/>
        </w:rPr>
        <w:t>.</w:t>
      </w:r>
      <w:r w:rsidRPr="00FB3A9D">
        <w:rPr>
          <w:rFonts w:ascii="Times New Roman" w:hAnsi="Times New Roman" w:cs="Times New Roman"/>
        </w:rPr>
        <w:tab/>
      </w:r>
      <w:r w:rsidR="00FB3A9D" w:rsidRPr="00FB3A9D">
        <w:rPr>
          <w:rFonts w:ascii="Times New Roman" w:hAnsi="Times New Roman" w:cs="Times New Roman"/>
        </w:rPr>
        <w:t>Ventil boce je sukladan sa EN144 :2018. Uz bocu se isporučuje zaštitna navlaka od materijala otpornog na toplinu.</w:t>
      </w:r>
    </w:p>
    <w:p w14:paraId="2A6E34A9" w14:textId="534AD3E2" w:rsidR="00556698" w:rsidRPr="00556698" w:rsidRDefault="00556698" w:rsidP="005F74AC">
      <w:pPr>
        <w:rPr>
          <w:rFonts w:ascii="Times New Roman" w:hAnsi="Times New Roman" w:cs="Times New Roman"/>
          <w:bCs/>
        </w:rPr>
      </w:pPr>
    </w:p>
    <w:p w14:paraId="18E97ADD" w14:textId="77777777" w:rsidR="00556698" w:rsidRDefault="00556698" w:rsidP="005F74AC">
      <w:pPr>
        <w:rPr>
          <w:rFonts w:ascii="Times New Roman" w:hAnsi="Times New Roman" w:cs="Times New Roman"/>
          <w:b/>
        </w:rPr>
      </w:pPr>
    </w:p>
    <w:p w14:paraId="64B4C79C" w14:textId="0F217E66" w:rsidR="008F7E05" w:rsidRPr="00FB3A9D" w:rsidRDefault="008F7E05" w:rsidP="00FB3A9D">
      <w:pPr>
        <w:pStyle w:val="Odlomakpopisa"/>
        <w:numPr>
          <w:ilvl w:val="0"/>
          <w:numId w:val="1"/>
        </w:numPr>
        <w:rPr>
          <w:rFonts w:ascii="Times New Roman" w:hAnsi="Times New Roman" w:cs="Times New Roman"/>
        </w:rPr>
      </w:pPr>
      <w:r w:rsidRPr="00FB3A9D">
        <w:rPr>
          <w:rFonts w:ascii="Times New Roman" w:hAnsi="Times New Roman" w:cs="Times New Roman"/>
          <w:b/>
        </w:rPr>
        <w:t xml:space="preserve">Boca zraka </w:t>
      </w:r>
      <w:r w:rsidRPr="00FB3A9D">
        <w:rPr>
          <w:rFonts w:ascii="Times New Roman" w:hAnsi="Times New Roman" w:cs="Times New Roman"/>
        </w:rPr>
        <w:t>6,8L/300 bar, sukladna sa normom HRN EN 12245,</w:t>
      </w:r>
      <w:r w:rsidRPr="00FB3A9D">
        <w:rPr>
          <w:rFonts w:ascii="Times New Roman" w:hAnsi="Times New Roman" w:cs="Times New Roman"/>
        </w:rPr>
        <w:tab/>
      </w:r>
      <w:r w:rsidRPr="00FB3A9D">
        <w:rPr>
          <w:rFonts w:ascii="Times New Roman" w:hAnsi="Times New Roman" w:cs="Times New Roman"/>
        </w:rPr>
        <w:tab/>
      </w:r>
      <w:r w:rsidRPr="00FB3A9D">
        <w:rPr>
          <w:rFonts w:ascii="Times New Roman" w:hAnsi="Times New Roman" w:cs="Times New Roman"/>
        </w:rPr>
        <w:tab/>
        <w:t xml:space="preserve">                     </w:t>
      </w:r>
      <w:r w:rsidRPr="00FB3A9D">
        <w:rPr>
          <w:rFonts w:ascii="Times New Roman" w:hAnsi="Times New Roman" w:cs="Times New Roman"/>
          <w:bCs/>
        </w:rPr>
        <w:t>sa aluminijskom jezgrom omotanom kompozitnim vlaknima – tip boce 3.</w:t>
      </w:r>
      <w:r w:rsidRPr="00FB3A9D">
        <w:rPr>
          <w:rFonts w:ascii="Times New Roman" w:hAnsi="Times New Roman" w:cs="Times New Roman"/>
          <w:bCs/>
        </w:rPr>
        <w:tab/>
      </w:r>
      <w:r w:rsidRPr="00FB3A9D">
        <w:rPr>
          <w:rFonts w:ascii="Times New Roman" w:hAnsi="Times New Roman" w:cs="Times New Roman"/>
          <w:bCs/>
        </w:rPr>
        <w:tab/>
        <w:t xml:space="preserve">           Trajnost boce minimalno 20 godina. </w:t>
      </w:r>
      <w:r w:rsidRPr="00FB3A9D">
        <w:rPr>
          <w:rFonts w:ascii="Times New Roman" w:hAnsi="Times New Roman" w:cs="Times New Roman"/>
        </w:rPr>
        <w:t>Ventil boce je sukladan sa EN144 :2018</w:t>
      </w:r>
      <w:r w:rsidRPr="00FB3A9D">
        <w:rPr>
          <w:rFonts w:ascii="Times New Roman" w:hAnsi="Times New Roman" w:cs="Times New Roman"/>
        </w:rPr>
        <w:tab/>
      </w:r>
      <w:r w:rsidR="00556698" w:rsidRPr="00FB3A9D">
        <w:rPr>
          <w:rFonts w:cs="Times New Roman"/>
        </w:rPr>
        <w:t>Kod isporuke isporučitelj za boce prilaže certifikat i izjavu o sukladnosti sa HRN EN 12245</w:t>
      </w:r>
      <w:r w:rsidRPr="00FB3A9D">
        <w:rPr>
          <w:rFonts w:ascii="Times New Roman" w:hAnsi="Times New Roman" w:cs="Times New Roman"/>
        </w:rPr>
        <w:tab/>
      </w:r>
    </w:p>
    <w:p w14:paraId="32E8E914" w14:textId="3E0B9326" w:rsidR="008F7E05" w:rsidRDefault="00FB3A9D" w:rsidP="005F74AC">
      <w:pPr>
        <w:rPr>
          <w:rFonts w:ascii="Times New Roman" w:hAnsi="Times New Roman" w:cs="Times New Roman"/>
        </w:rPr>
      </w:pPr>
      <w:r>
        <w:rPr>
          <w:rFonts w:ascii="Times New Roman" w:hAnsi="Times New Roman" w:cs="Times New Roman"/>
          <w:b/>
          <w:bCs/>
        </w:rPr>
        <w:t xml:space="preserve">            </w:t>
      </w:r>
      <w:r w:rsidR="008F7E05" w:rsidRPr="00C76EB9">
        <w:rPr>
          <w:rFonts w:ascii="Times New Roman" w:hAnsi="Times New Roman" w:cs="Times New Roman"/>
          <w:b/>
          <w:bCs/>
        </w:rPr>
        <w:t>Zaštitna navlaka</w:t>
      </w:r>
      <w:r w:rsidR="008F7E05" w:rsidRPr="00C76EB9">
        <w:rPr>
          <w:rFonts w:ascii="Times New Roman" w:hAnsi="Times New Roman" w:cs="Times New Roman"/>
        </w:rPr>
        <w:t xml:space="preserve"> za bocu 6,8L, od materijala otpornog na toplinu</w:t>
      </w:r>
      <w:r w:rsidR="008F7E05">
        <w:rPr>
          <w:rFonts w:ascii="Times New Roman" w:hAnsi="Times New Roman" w:cs="Times New Roman"/>
        </w:rPr>
        <w:t>.</w:t>
      </w:r>
    </w:p>
    <w:p w14:paraId="5EA60BE0" w14:textId="77777777" w:rsidR="008F7E05" w:rsidRDefault="008F7E05" w:rsidP="005F74AC">
      <w:pPr>
        <w:rPr>
          <w:rFonts w:ascii="Times New Roman" w:hAnsi="Times New Roman" w:cs="Times New Roman"/>
        </w:rPr>
      </w:pPr>
    </w:p>
    <w:p w14:paraId="7B31C790" w14:textId="77777777" w:rsidR="008F7E05" w:rsidRDefault="008F7E05" w:rsidP="005F74AC">
      <w:pPr>
        <w:rPr>
          <w:rFonts w:ascii="Times New Roman" w:hAnsi="Times New Roman" w:cs="Times New Roman"/>
        </w:rPr>
      </w:pPr>
    </w:p>
    <w:p w14:paraId="7F84DC84" w14:textId="4069D494" w:rsidR="008F7E05" w:rsidRDefault="008F7E05" w:rsidP="00FB3A9D">
      <w:pPr>
        <w:pStyle w:val="Odlomakpopisa"/>
        <w:numPr>
          <w:ilvl w:val="0"/>
          <w:numId w:val="1"/>
        </w:numPr>
        <w:rPr>
          <w:rFonts w:ascii="Times New Roman" w:hAnsi="Times New Roman" w:cs="Times New Roman"/>
        </w:rPr>
      </w:pPr>
      <w:r w:rsidRPr="00FB3A9D">
        <w:rPr>
          <w:rFonts w:ascii="Times New Roman" w:hAnsi="Times New Roman" w:cs="Times New Roman"/>
          <w:b/>
        </w:rPr>
        <w:t xml:space="preserve">Boca zraka </w:t>
      </w:r>
      <w:r w:rsidRPr="00FB3A9D">
        <w:rPr>
          <w:rFonts w:ascii="Times New Roman" w:hAnsi="Times New Roman" w:cs="Times New Roman"/>
          <w:bCs/>
        </w:rPr>
        <w:t xml:space="preserve">od potpuno kompozitnog materijala – tip boce 4 (NLL-neograničeni vijek trajanja),       </w:t>
      </w:r>
      <w:r w:rsidRPr="00FB3A9D">
        <w:rPr>
          <w:rFonts w:ascii="Times New Roman" w:hAnsi="Times New Roman" w:cs="Times New Roman"/>
        </w:rPr>
        <w:t>6,8L/300 bar, sukladna sa normom HRN EN 12245, Težina prazne boce za zaštitnom gumom na gornjem dijelu boce i na dnu boce i ventilom; maksimalno do 3,35 kg. Ventil boce sukladan sa EN144 :2018. Uz bocu se isporučuje vatrootporna nomex navlaka plave boje sa srebrnom reflektirajućom trakom i ručkom za nošenje.</w:t>
      </w:r>
    </w:p>
    <w:p w14:paraId="29B1A70F" w14:textId="77777777" w:rsidR="00507449" w:rsidRDefault="00507449" w:rsidP="00507449">
      <w:pPr>
        <w:rPr>
          <w:rFonts w:ascii="Times New Roman" w:hAnsi="Times New Roman" w:cs="Times New Roman"/>
        </w:rPr>
      </w:pPr>
    </w:p>
    <w:p w14:paraId="2A7E938D" w14:textId="77777777" w:rsidR="00507449" w:rsidRPr="005D5567" w:rsidRDefault="00507449" w:rsidP="00507449">
      <w:pPr>
        <w:pStyle w:val="Bezproreda"/>
        <w:jc w:val="both"/>
        <w:rPr>
          <w:rFonts w:ascii="Source Sans Pro" w:hAnsi="Source Sans Pro" w:cs="Calibri"/>
        </w:rPr>
      </w:pPr>
      <w:r w:rsidRPr="005D5567">
        <w:rPr>
          <w:rFonts w:ascii="Source Sans Pro" w:hAnsi="Source Sans Pro" w:cs="Calibri"/>
        </w:rPr>
        <w:t>Tehničke specifikacije predmeta nabave, vrsta, kvaliteta i količina u cijelosti su iskazane troškovnikom, Glavnom projektu s pripadajućim mapama i Izvedbenim projektom.</w:t>
      </w:r>
    </w:p>
    <w:p w14:paraId="54EF59D2" w14:textId="77777777" w:rsidR="00507449" w:rsidRPr="005D5567" w:rsidRDefault="00507449" w:rsidP="00507449">
      <w:pPr>
        <w:pStyle w:val="NoSpacing1"/>
        <w:jc w:val="both"/>
        <w:rPr>
          <w:rFonts w:ascii="Source Sans Pro" w:hAnsi="Source Sans Pro" w:cs="Calibri"/>
          <w:b/>
          <w:bCs/>
          <w:color w:val="auto"/>
          <w:sz w:val="22"/>
          <w:szCs w:val="22"/>
        </w:rPr>
      </w:pPr>
    </w:p>
    <w:p w14:paraId="7D559FB5" w14:textId="77777777" w:rsidR="00507449" w:rsidRPr="005D5567" w:rsidRDefault="00507449" w:rsidP="00507449">
      <w:pPr>
        <w:pStyle w:val="NoSpacing1"/>
        <w:jc w:val="both"/>
        <w:rPr>
          <w:rFonts w:ascii="Source Sans Pro" w:hAnsi="Source Sans Pro" w:cs="Calibri"/>
          <w:b/>
          <w:bCs/>
          <w:color w:val="auto"/>
          <w:sz w:val="22"/>
          <w:szCs w:val="22"/>
        </w:rPr>
      </w:pPr>
      <w:r w:rsidRPr="005D5567">
        <w:rPr>
          <w:rFonts w:ascii="Source Sans Pro" w:hAnsi="Source Sans Pro" w:cs="Calibri"/>
          <w:b/>
          <w:bCs/>
          <w:color w:val="auto"/>
          <w:sz w:val="22"/>
          <w:szCs w:val="22"/>
        </w:rPr>
        <w:t>Tehničke specifikacije u obliku izvedbenih ili funkcionalnih zahtjeva te u obliku sukladnosti sa normama</w:t>
      </w:r>
    </w:p>
    <w:p w14:paraId="58DCDB76" w14:textId="77777777" w:rsidR="00507449" w:rsidRPr="005D5567" w:rsidRDefault="00507449" w:rsidP="00507449">
      <w:pPr>
        <w:pStyle w:val="NoSpacing1"/>
        <w:jc w:val="both"/>
        <w:rPr>
          <w:rFonts w:ascii="Source Sans Pro" w:hAnsi="Source Sans Pro" w:cs="Calibri"/>
          <w:color w:val="auto"/>
          <w:sz w:val="22"/>
          <w:szCs w:val="22"/>
        </w:rPr>
      </w:pPr>
      <w:r w:rsidRPr="005D5567">
        <w:rPr>
          <w:rFonts w:ascii="Source Sans Pro" w:hAnsi="Source Sans Pro" w:cs="Calibri"/>
          <w:color w:val="auto"/>
          <w:sz w:val="22"/>
          <w:szCs w:val="22"/>
        </w:rPr>
        <w:t>Ukoliko se tehničke specifikacije formuliraju sukladno članku 209. Zakona o javnoj nabavi,</w:t>
      </w:r>
      <w:r w:rsidRPr="005D5567">
        <w:rPr>
          <w:rFonts w:ascii="Source Sans Pro" w:hAnsi="Source Sans Pro"/>
          <w:sz w:val="22"/>
          <w:szCs w:val="22"/>
        </w:rPr>
        <w:t xml:space="preserve"> ("Narodne novine" br. 120/2016., 114/2022., 48/2026.), (dalje u tekstu: ZJN 2016),</w:t>
      </w:r>
      <w:r w:rsidRPr="005D5567">
        <w:rPr>
          <w:rFonts w:ascii="Source Sans Pro" w:hAnsi="Source Sans Pro" w:cs="Calibri"/>
          <w:color w:val="auto"/>
          <w:sz w:val="22"/>
          <w:szCs w:val="22"/>
        </w:rPr>
        <w:t xml:space="preserve"> smatra se da je svaka takva uputa/zahtjev popraćena izrazom „</w:t>
      </w:r>
      <w:r w:rsidRPr="005D5567">
        <w:rPr>
          <w:rFonts w:ascii="Source Sans Pro" w:hAnsi="Source Sans Pro" w:cs="Calibri"/>
          <w:i/>
          <w:iCs/>
          <w:color w:val="auto"/>
          <w:sz w:val="22"/>
          <w:szCs w:val="22"/>
        </w:rPr>
        <w:t>ili jednakovrijedno</w:t>
      </w:r>
      <w:r w:rsidRPr="005D5567">
        <w:rPr>
          <w:rFonts w:ascii="Source Sans Pro" w:hAnsi="Source Sans Pro" w:cs="Calibri"/>
          <w:color w:val="auto"/>
          <w:sz w:val="22"/>
          <w:szCs w:val="22"/>
        </w:rPr>
        <w:t>“ te su ponuditelji slobodni nuditi jednakovrijedna rješenja.</w:t>
      </w:r>
    </w:p>
    <w:p w14:paraId="2BDC2FAF" w14:textId="77777777" w:rsidR="00507449" w:rsidRPr="00D14B8A" w:rsidRDefault="00507449" w:rsidP="00507449">
      <w:pPr>
        <w:autoSpaceDE w:val="0"/>
        <w:autoSpaceDN w:val="0"/>
        <w:adjustRightInd w:val="0"/>
        <w:spacing w:line="240" w:lineRule="auto"/>
        <w:jc w:val="both"/>
        <w:rPr>
          <w:rFonts w:ascii="Source Sans Pro" w:eastAsia="Calibri" w:hAnsi="Source Sans Pro" w:cs="Calibri"/>
          <w:b/>
          <w:bCs/>
          <w:color w:val="000000"/>
          <w:u w:val="single"/>
        </w:rPr>
      </w:pPr>
    </w:p>
    <w:p w14:paraId="391E230B" w14:textId="77777777" w:rsidR="00507449" w:rsidRPr="00D14B8A" w:rsidRDefault="00507449" w:rsidP="00507449">
      <w:pPr>
        <w:autoSpaceDE w:val="0"/>
        <w:autoSpaceDN w:val="0"/>
        <w:adjustRightInd w:val="0"/>
        <w:spacing w:line="240" w:lineRule="auto"/>
        <w:jc w:val="both"/>
        <w:rPr>
          <w:rFonts w:ascii="Source Sans Pro" w:eastAsia="Calibri" w:hAnsi="Source Sans Pro" w:cs="Calibri"/>
          <w:b/>
          <w:bCs/>
          <w:color w:val="000000"/>
          <w:u w:val="single"/>
        </w:rPr>
      </w:pPr>
      <w:r w:rsidRPr="00D14B8A">
        <w:rPr>
          <w:rFonts w:ascii="Source Sans Pro" w:eastAsia="Calibri" w:hAnsi="Source Sans Pro" w:cs="Calibri"/>
          <w:b/>
          <w:bCs/>
          <w:color w:val="000000"/>
          <w:u w:val="single"/>
        </w:rPr>
        <w:t>Člankom 210. ZJN 2016 propisano je:</w:t>
      </w:r>
    </w:p>
    <w:p w14:paraId="54332800" w14:textId="77777777" w:rsidR="00507449" w:rsidRPr="00D14B8A" w:rsidRDefault="00507449" w:rsidP="00507449">
      <w:pPr>
        <w:autoSpaceDE w:val="0"/>
        <w:autoSpaceDN w:val="0"/>
        <w:adjustRightInd w:val="0"/>
        <w:spacing w:line="240" w:lineRule="auto"/>
        <w:jc w:val="both"/>
        <w:rPr>
          <w:rFonts w:ascii="Source Sans Pro" w:hAnsi="Source Sans Pro"/>
        </w:rPr>
      </w:pPr>
      <w:r w:rsidRPr="00D14B8A">
        <w:rPr>
          <w:rFonts w:ascii="Source Sans Pro" w:hAnsi="Source Sans Pro"/>
        </w:rPr>
        <w:t xml:space="preserve">(1) Tehničke specifikacije ne smiju upućivati na određenu marku ili izvor, ili određeni proces s obilježjima proizvoda ili usluga koje pruža određeni gospodarski subjekt, ili na zaštitne znakove, patente, tipove ili određeno podrijetlo ili proizvodnju ako bi to imalo učinak pogodovanja ili isključenja određenih gospodarskih ili određenih proizvoda, osim ako je to opravdano subjekata predmetom nabave. </w:t>
      </w:r>
    </w:p>
    <w:p w14:paraId="49925B05" w14:textId="77777777" w:rsidR="00507449" w:rsidRPr="00D14B8A" w:rsidRDefault="00507449" w:rsidP="00507449">
      <w:pPr>
        <w:autoSpaceDE w:val="0"/>
        <w:autoSpaceDN w:val="0"/>
        <w:adjustRightInd w:val="0"/>
        <w:spacing w:line="240" w:lineRule="auto"/>
        <w:jc w:val="both"/>
        <w:rPr>
          <w:rFonts w:ascii="Source Sans Pro" w:hAnsi="Source Sans Pro"/>
        </w:rPr>
      </w:pPr>
      <w:r w:rsidRPr="00D14B8A">
        <w:rPr>
          <w:rFonts w:ascii="Source Sans Pro" w:hAnsi="Source Sans Pro"/>
        </w:rPr>
        <w:t xml:space="preserve">(2) Upućivanje iz stavka 1. ovoga članka iznimno je dopuštena ako se predmet nabave ne može dovoljno precizno i razumljivo opisati sukladno članku 209. ovoga Zakona, pri čemu takva uputa mora biti popraćena izrazom »ili jednakovrijedno«. </w:t>
      </w:r>
    </w:p>
    <w:p w14:paraId="0EBAB28D" w14:textId="77777777" w:rsidR="00507449" w:rsidRPr="00D14B8A" w:rsidRDefault="00507449" w:rsidP="00507449">
      <w:pPr>
        <w:autoSpaceDE w:val="0"/>
        <w:autoSpaceDN w:val="0"/>
        <w:adjustRightInd w:val="0"/>
        <w:spacing w:line="240" w:lineRule="auto"/>
        <w:jc w:val="both"/>
        <w:rPr>
          <w:rFonts w:ascii="Source Sans Pro" w:hAnsi="Source Sans Pro"/>
        </w:rPr>
      </w:pPr>
      <w:r w:rsidRPr="00D14B8A">
        <w:rPr>
          <w:rFonts w:ascii="Source Sans Pro" w:hAnsi="Source Sans Pro"/>
          <w:b/>
          <w:bCs/>
        </w:rPr>
        <w:t>(3) U slučaju iz stavka 2. ovoga članka, ponuditelj je obvezan dokazati jednakovrijednost ponuđene robe, radova ili usluga.</w:t>
      </w:r>
      <w:r w:rsidRPr="00D14B8A">
        <w:rPr>
          <w:rFonts w:ascii="Source Sans Pro" w:hAnsi="Source Sans Pro"/>
        </w:rPr>
        <w:t xml:space="preserve"> </w:t>
      </w:r>
    </w:p>
    <w:p w14:paraId="2B6075A2" w14:textId="77777777" w:rsidR="00507449" w:rsidRPr="00D14B8A" w:rsidRDefault="00507449" w:rsidP="00507449">
      <w:pPr>
        <w:autoSpaceDE w:val="0"/>
        <w:autoSpaceDN w:val="0"/>
        <w:adjustRightInd w:val="0"/>
        <w:spacing w:line="240" w:lineRule="auto"/>
        <w:jc w:val="both"/>
        <w:rPr>
          <w:rFonts w:ascii="Source Sans Pro" w:hAnsi="Source Sans Pro"/>
        </w:rPr>
      </w:pPr>
    </w:p>
    <w:p w14:paraId="2E8D9A59" w14:textId="77777777" w:rsidR="00507449" w:rsidRPr="00D14B8A" w:rsidRDefault="00507449" w:rsidP="00507449">
      <w:pPr>
        <w:autoSpaceDE w:val="0"/>
        <w:autoSpaceDN w:val="0"/>
        <w:adjustRightInd w:val="0"/>
        <w:spacing w:line="240" w:lineRule="auto"/>
        <w:jc w:val="both"/>
        <w:rPr>
          <w:rFonts w:ascii="Source Sans Pro" w:hAnsi="Source Sans Pro"/>
        </w:rPr>
      </w:pPr>
      <w:r w:rsidRPr="00D14B8A">
        <w:rPr>
          <w:rFonts w:ascii="Source Sans Pro" w:hAnsi="Source Sans Pro"/>
        </w:rPr>
        <w:t>Člankom 211. ZJN 2016 propisano je:</w:t>
      </w:r>
    </w:p>
    <w:p w14:paraId="096721A6" w14:textId="77777777" w:rsidR="00507449" w:rsidRPr="00D14B8A" w:rsidRDefault="00507449" w:rsidP="00507449">
      <w:pPr>
        <w:autoSpaceDE w:val="0"/>
        <w:autoSpaceDN w:val="0"/>
        <w:adjustRightInd w:val="0"/>
        <w:spacing w:line="240" w:lineRule="auto"/>
        <w:jc w:val="both"/>
        <w:rPr>
          <w:rFonts w:ascii="Source Sans Pro" w:hAnsi="Source Sans Pro"/>
        </w:rPr>
      </w:pPr>
      <w:r w:rsidRPr="00D14B8A">
        <w:rPr>
          <w:rFonts w:ascii="Source Sans Pro" w:hAnsi="Source Sans Pro"/>
        </w:rPr>
        <w:t xml:space="preserve">(1) Ako javni naručitelj koristi mogućnost upućivanja na specifikacije iz članka 209. točke 1. ovoga Zakona u obliku izvedbenih ili funkcionalnih zahtjeva, ne smije odbiti ponudu za radove, robu ili usluge koji odgovaraju nacionalnoj normi kojom se prihvaća europska norma, europskom tehničkom odobrenju, zajedničkoj tehničkoj specifikaciji, međunarodnoj normi ili tehničkom referentnom sustavu koji je utvrdilo europsko normizacijsko tijelo, ako se te specifikacije odnose na izvedbene ili funkcionalne zahtjeve koje je javni naručitelj propisao. </w:t>
      </w:r>
    </w:p>
    <w:p w14:paraId="5482A490" w14:textId="77777777" w:rsidR="00507449" w:rsidRPr="00D14B8A" w:rsidRDefault="00507449" w:rsidP="00507449">
      <w:pPr>
        <w:autoSpaceDE w:val="0"/>
        <w:autoSpaceDN w:val="0"/>
        <w:adjustRightInd w:val="0"/>
        <w:spacing w:line="240" w:lineRule="auto"/>
        <w:jc w:val="both"/>
        <w:rPr>
          <w:rFonts w:ascii="Source Sans Pro" w:hAnsi="Source Sans Pro"/>
        </w:rPr>
      </w:pPr>
      <w:r w:rsidRPr="00D14B8A">
        <w:rPr>
          <w:rFonts w:ascii="Source Sans Pro" w:hAnsi="Source Sans Pro"/>
        </w:rPr>
        <w:t xml:space="preserve">(2) Ako javni naručitelj koristi mogućnost upućivanja na specifikacije iz članka 209. točke 2. ovoga Zakona, ne smije odbiti ponudu zbog toga što ponuđeni radovi, roba ili usluge nisu u skladu s tehničkim specifikacijama na koje je uputio, ako ponuditelj u ponudi na zadovoljavajući način javnom naručitelju dokaže, bilo kojim prikladnim sredstvom što uključuje i sredstva dokazivanja iz članka 213. ovoga Zakona, da rješenja koja predlaže na jednakovrijedan način zadovoljavaju zahtjeve definirane tehničkim specifikacijama. </w:t>
      </w:r>
    </w:p>
    <w:p w14:paraId="32EFF830" w14:textId="77777777" w:rsidR="00507449" w:rsidRPr="00D14B8A" w:rsidRDefault="00507449" w:rsidP="00507449">
      <w:pPr>
        <w:autoSpaceDE w:val="0"/>
        <w:autoSpaceDN w:val="0"/>
        <w:adjustRightInd w:val="0"/>
        <w:spacing w:line="240" w:lineRule="auto"/>
        <w:jc w:val="both"/>
        <w:rPr>
          <w:rFonts w:ascii="Source Sans Pro" w:hAnsi="Source Sans Pro"/>
        </w:rPr>
      </w:pPr>
      <w:r w:rsidRPr="00D14B8A">
        <w:rPr>
          <w:rFonts w:ascii="Source Sans Pro" w:hAnsi="Source Sans Pro"/>
        </w:rPr>
        <w:t>(3) U slučaju iz stavka 1. ovoga članka ponuditelj mora u ponudi na zadovoljavajući način javnom naručitelju, bilo kojim prikladnim sredstvom što uključuje i sredstva dokazivanja iz članka 213. ovoga Zakona, dokazati da radovi, roba ili usluge koji odgovaraju normi udovoljavaju izvedbenim ili funkcionalnim zahtjevima javnog naručitelja.</w:t>
      </w:r>
    </w:p>
    <w:p w14:paraId="2AF47483" w14:textId="77777777" w:rsidR="00507449" w:rsidRPr="00507449" w:rsidRDefault="00507449" w:rsidP="00507449">
      <w:pPr>
        <w:rPr>
          <w:rFonts w:ascii="Times New Roman" w:hAnsi="Times New Roman" w:cs="Times New Roman"/>
        </w:rPr>
      </w:pPr>
    </w:p>
    <w:p w14:paraId="0BCAD61D" w14:textId="77777777" w:rsidR="008F7E05" w:rsidRDefault="008F7E05" w:rsidP="005F74AC">
      <w:pPr>
        <w:rPr>
          <w:rFonts w:ascii="Times New Roman" w:hAnsi="Times New Roman" w:cs="Times New Roman"/>
        </w:rPr>
      </w:pPr>
    </w:p>
    <w:p w14:paraId="044C98A3" w14:textId="77777777" w:rsidR="008F7E05" w:rsidRDefault="008F7E05" w:rsidP="005F74AC">
      <w:pPr>
        <w:rPr>
          <w:rFonts w:ascii="Times New Roman" w:hAnsi="Times New Roman" w:cs="Times New Roman"/>
        </w:rPr>
      </w:pPr>
    </w:p>
    <w:p w14:paraId="382E2FA3" w14:textId="77777777" w:rsidR="005F74AC" w:rsidRDefault="005F74AC"/>
    <w:sectPr w:rsidR="005F74A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BAE6B" w14:textId="77777777" w:rsidR="00F320BF" w:rsidRDefault="00F320BF" w:rsidP="005F74AC">
      <w:pPr>
        <w:spacing w:after="0" w:line="240" w:lineRule="auto"/>
      </w:pPr>
      <w:r>
        <w:separator/>
      </w:r>
    </w:p>
  </w:endnote>
  <w:endnote w:type="continuationSeparator" w:id="0">
    <w:p w14:paraId="228379F5" w14:textId="77777777" w:rsidR="00F320BF" w:rsidRDefault="00F320BF" w:rsidP="005F7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2A21" w14:textId="77777777" w:rsidR="005F74AC" w:rsidRDefault="005F74A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E707" w14:textId="77777777" w:rsidR="005F74AC" w:rsidRDefault="005F74A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4535" w14:textId="77777777" w:rsidR="005F74AC" w:rsidRDefault="005F74A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75697" w14:textId="77777777" w:rsidR="00F320BF" w:rsidRDefault="00F320BF" w:rsidP="005F74AC">
      <w:pPr>
        <w:spacing w:after="0" w:line="240" w:lineRule="auto"/>
      </w:pPr>
      <w:r>
        <w:separator/>
      </w:r>
    </w:p>
  </w:footnote>
  <w:footnote w:type="continuationSeparator" w:id="0">
    <w:p w14:paraId="0344FD40" w14:textId="77777777" w:rsidR="00F320BF" w:rsidRDefault="00F320BF" w:rsidP="005F7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2E40" w14:textId="1525B9B2" w:rsidR="005F74AC" w:rsidRDefault="005F74A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0A63" w14:textId="4ED67A7C" w:rsidR="005F74AC" w:rsidRDefault="005F74A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FE33" w14:textId="75A17A1C" w:rsidR="005F74AC" w:rsidRDefault="005F74A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0563E"/>
    <w:multiLevelType w:val="hybridMultilevel"/>
    <w:tmpl w:val="093805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6C24801"/>
    <w:multiLevelType w:val="hybridMultilevel"/>
    <w:tmpl w:val="31C6E26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4CC86CCE"/>
    <w:multiLevelType w:val="hybridMultilevel"/>
    <w:tmpl w:val="D0A843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A622BE0"/>
    <w:multiLevelType w:val="hybridMultilevel"/>
    <w:tmpl w:val="CF2A20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09012723">
    <w:abstractNumId w:val="0"/>
  </w:num>
  <w:num w:numId="2" w16cid:durableId="1409110997">
    <w:abstractNumId w:val="3"/>
  </w:num>
  <w:num w:numId="3" w16cid:durableId="432868217">
    <w:abstractNumId w:val="2"/>
  </w:num>
  <w:num w:numId="4" w16cid:durableId="160195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4AC"/>
    <w:rsid w:val="0028229E"/>
    <w:rsid w:val="00362B38"/>
    <w:rsid w:val="004673A6"/>
    <w:rsid w:val="004A33E0"/>
    <w:rsid w:val="00507449"/>
    <w:rsid w:val="00544CBF"/>
    <w:rsid w:val="00556698"/>
    <w:rsid w:val="00572E2B"/>
    <w:rsid w:val="005F74AC"/>
    <w:rsid w:val="0081154E"/>
    <w:rsid w:val="008B605E"/>
    <w:rsid w:val="008F7E05"/>
    <w:rsid w:val="009D0D7C"/>
    <w:rsid w:val="00BF293F"/>
    <w:rsid w:val="00F01BB2"/>
    <w:rsid w:val="00F320BF"/>
    <w:rsid w:val="00FB3A9D"/>
    <w:rsid w:val="00FB56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E368A"/>
  <w15:chartTrackingRefBased/>
  <w15:docId w15:val="{2643283E-C71E-40EC-8050-04228D68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4AC"/>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F74A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F74AC"/>
  </w:style>
  <w:style w:type="paragraph" w:styleId="Podnoje">
    <w:name w:val="footer"/>
    <w:basedOn w:val="Normal"/>
    <w:link w:val="PodnojeChar"/>
    <w:uiPriority w:val="99"/>
    <w:unhideWhenUsed/>
    <w:rsid w:val="005F74A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F74AC"/>
  </w:style>
  <w:style w:type="paragraph" w:styleId="Odlomakpopisa">
    <w:name w:val="List Paragraph"/>
    <w:basedOn w:val="Normal"/>
    <w:uiPriority w:val="34"/>
    <w:qFormat/>
    <w:rsid w:val="00FB3A9D"/>
    <w:pPr>
      <w:ind w:left="720"/>
      <w:contextualSpacing/>
    </w:pPr>
  </w:style>
  <w:style w:type="paragraph" w:styleId="Bezproreda">
    <w:name w:val="No Spacing"/>
    <w:link w:val="BezproredaChar"/>
    <w:uiPriority w:val="1"/>
    <w:qFormat/>
    <w:rsid w:val="00507449"/>
    <w:pPr>
      <w:spacing w:after="0" w:line="240" w:lineRule="auto"/>
    </w:pPr>
    <w:rPr>
      <w:rFonts w:ascii="Calibri" w:eastAsia="Calibri" w:hAnsi="Calibri" w:cs="Times New Roman"/>
    </w:rPr>
  </w:style>
  <w:style w:type="paragraph" w:customStyle="1" w:styleId="NoSpacing1">
    <w:name w:val="No Spacing1"/>
    <w:uiPriority w:val="1"/>
    <w:qFormat/>
    <w:rsid w:val="00507449"/>
    <w:pPr>
      <w:spacing w:after="0" w:line="240" w:lineRule="auto"/>
    </w:pPr>
    <w:rPr>
      <w:rFonts w:ascii="Times New Roman" w:eastAsia="Times New Roman" w:hAnsi="Times New Roman" w:cs="Times New Roman"/>
      <w:color w:val="00000A"/>
      <w:sz w:val="24"/>
      <w:szCs w:val="24"/>
      <w:lang w:eastAsia="hr-HR"/>
    </w:rPr>
  </w:style>
  <w:style w:type="character" w:customStyle="1" w:styleId="BezproredaChar">
    <w:name w:val="Bez proreda Char"/>
    <w:link w:val="Bezproreda"/>
    <w:uiPriority w:val="1"/>
    <w:qFormat/>
    <w:rsid w:val="0050744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8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d280710-1564-42b6-983b-5cebee6e2358}" enabled="1" method="Privileged" siteId="{e8d897a8-f400-4625-858a-6f3ae627542b}"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Dalic, Andrea</dc:creator>
  <cp:keywords/>
  <dc:description/>
  <cp:lastModifiedBy>Ivana Brkić</cp:lastModifiedBy>
  <cp:revision>3</cp:revision>
  <dcterms:created xsi:type="dcterms:W3CDTF">2026-05-21T08:46:00Z</dcterms:created>
  <dcterms:modified xsi:type="dcterms:W3CDTF">2026-06-11T09:19:00Z</dcterms:modified>
</cp:coreProperties>
</file>